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FF751D" w14:textId="77777777" w:rsidR="00901EB5" w:rsidRDefault="00901EB5">
      <w:pPr>
        <w:spacing w:after="8" w:line="120" w:lineRule="exact"/>
        <w:rPr>
          <w:rFonts w:ascii="Calibri" w:eastAsia="Calibri" w:hAnsi="Calibri" w:cs="Calibri"/>
          <w:sz w:val="12"/>
          <w:szCs w:val="12"/>
        </w:rPr>
      </w:pPr>
    </w:p>
    <w:tbl>
      <w:tblPr>
        <w:tblW w:w="9734" w:type="dxa"/>
        <w:tblInd w:w="6" w:type="dxa"/>
        <w:tblLayout w:type="fixed"/>
        <w:tblCellMar>
          <w:left w:w="10" w:type="dxa"/>
          <w:right w:w="10" w:type="dxa"/>
        </w:tblCellMar>
        <w:tblLook w:val="0000" w:firstRow="0" w:lastRow="0" w:firstColumn="0" w:lastColumn="0" w:noHBand="0" w:noVBand="0"/>
      </w:tblPr>
      <w:tblGrid>
        <w:gridCol w:w="6066"/>
        <w:gridCol w:w="113"/>
        <w:gridCol w:w="3555"/>
      </w:tblGrid>
      <w:tr w:rsidR="00901EB5" w14:paraId="0638F1F9" w14:textId="77777777" w:rsidTr="00214F40">
        <w:trPr>
          <w:cantSplit/>
          <w:trHeight w:hRule="exact" w:val="1465"/>
        </w:trPr>
        <w:tc>
          <w:tcPr>
            <w:tcW w:w="6066" w:type="dxa"/>
            <w:tcBorders>
              <w:top w:val="single" w:sz="0" w:space="0" w:color="A5A5A5"/>
              <w:left w:val="single" w:sz="0" w:space="0" w:color="A5A5A5"/>
              <w:right w:val="single" w:sz="0" w:space="0" w:color="7030A0"/>
            </w:tcBorders>
            <w:shd w:val="clear" w:color="auto" w:fill="A5A5A5"/>
            <w:tcMar>
              <w:top w:w="0" w:type="dxa"/>
              <w:left w:w="0" w:type="dxa"/>
              <w:bottom w:w="0" w:type="dxa"/>
              <w:right w:w="0" w:type="dxa"/>
            </w:tcMar>
          </w:tcPr>
          <w:p w14:paraId="693CBB50" w14:textId="77777777" w:rsidR="00901EB5" w:rsidRDefault="00501518">
            <w:pPr>
              <w:spacing w:before="67" w:line="235" w:lineRule="auto"/>
              <w:ind w:left="446" w:right="2209"/>
              <w:rPr>
                <w:rFonts w:ascii="Calibri" w:eastAsia="Calibri" w:hAnsi="Calibri" w:cs="Calibri"/>
                <w:color w:val="FFFFFF"/>
                <w:sz w:val="36"/>
                <w:szCs w:val="36"/>
              </w:rPr>
            </w:pPr>
            <w:r w:rsidRPr="006103C6">
              <w:rPr>
                <w:rFonts w:ascii="Times New Roman" w:eastAsia="Times New Roman" w:hAnsi="Times New Roman" w:cs="Times New Roman"/>
                <w:noProof/>
              </w:rPr>
              <w:drawing>
                <wp:anchor distT="0" distB="0" distL="114300" distR="114300" simplePos="0" relativeHeight="251689472" behindDoc="0" locked="0" layoutInCell="1" allowOverlap="1" wp14:anchorId="211A1273" wp14:editId="00427C8E">
                  <wp:simplePos x="0" y="0"/>
                  <wp:positionH relativeFrom="column">
                    <wp:posOffset>100700</wp:posOffset>
                  </wp:positionH>
                  <wp:positionV relativeFrom="paragraph">
                    <wp:posOffset>86995</wp:posOffset>
                  </wp:positionV>
                  <wp:extent cx="3569335" cy="554990"/>
                  <wp:effectExtent l="0" t="0" r="0" b="3810"/>
                  <wp:wrapSquare wrapText="bothSides"/>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9335" cy="5549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cs="Calibri"/>
                <w:color w:val="FFFFFF"/>
                <w:sz w:val="36"/>
                <w:szCs w:val="36"/>
              </w:rPr>
              <w:t xml:space="preserve"> </w:t>
            </w:r>
          </w:p>
        </w:tc>
        <w:tc>
          <w:tcPr>
            <w:tcW w:w="113" w:type="dxa"/>
            <w:tcBorders>
              <w:top w:val="single" w:sz="0" w:space="0" w:color="A5A5A5"/>
              <w:left w:val="single" w:sz="0" w:space="0" w:color="7030A0"/>
              <w:bottom w:val="single" w:sz="0" w:space="0" w:color="A5A5A5"/>
            </w:tcBorders>
            <w:shd w:val="clear" w:color="auto" w:fill="7030A0"/>
            <w:tcMar>
              <w:top w:w="0" w:type="dxa"/>
              <w:left w:w="0" w:type="dxa"/>
              <w:bottom w:w="0" w:type="dxa"/>
              <w:right w:w="0" w:type="dxa"/>
            </w:tcMar>
          </w:tcPr>
          <w:p w14:paraId="59EAEDD6" w14:textId="77777777" w:rsidR="00901EB5" w:rsidRDefault="00901EB5"/>
        </w:tc>
        <w:tc>
          <w:tcPr>
            <w:tcW w:w="3555" w:type="dxa"/>
            <w:tcBorders>
              <w:top w:val="single" w:sz="0" w:space="0" w:color="7030A0"/>
              <w:bottom w:val="single" w:sz="0" w:space="0" w:color="A5A5A5"/>
              <w:right w:val="single" w:sz="0" w:space="0" w:color="7030A0"/>
            </w:tcBorders>
            <w:shd w:val="clear" w:color="auto" w:fill="7030A0"/>
            <w:tcMar>
              <w:top w:w="0" w:type="dxa"/>
              <w:left w:w="0" w:type="dxa"/>
              <w:bottom w:w="0" w:type="dxa"/>
              <w:right w:w="0" w:type="dxa"/>
            </w:tcMar>
          </w:tcPr>
          <w:p w14:paraId="24B31BA9" w14:textId="77777777" w:rsidR="00901EB5" w:rsidRDefault="008B48BC">
            <w:pPr>
              <w:spacing w:before="67" w:line="235" w:lineRule="auto"/>
              <w:ind w:left="32" w:right="780"/>
              <w:rPr>
                <w:rFonts w:ascii="Calibri" w:eastAsia="Calibri" w:hAnsi="Calibri" w:cs="Calibri"/>
                <w:color w:val="FFFFFF"/>
                <w:sz w:val="36"/>
                <w:szCs w:val="36"/>
              </w:rPr>
            </w:pPr>
            <w:r>
              <w:rPr>
                <w:rFonts w:ascii="Calibri" w:eastAsia="Calibri" w:hAnsi="Calibri" w:cs="Calibri"/>
                <w:color w:val="FFFFFF"/>
                <w:sz w:val="36"/>
                <w:szCs w:val="36"/>
              </w:rPr>
              <w:t xml:space="preserve">Investment recommendation: </w:t>
            </w:r>
            <w:r w:rsidR="00402A34">
              <w:rPr>
                <w:rFonts w:ascii="Calibri" w:eastAsia="Calibri" w:hAnsi="Calibri" w:cs="Calibri"/>
                <w:color w:val="FFFFFF"/>
                <w:sz w:val="36"/>
                <w:szCs w:val="36"/>
              </w:rPr>
              <w:t>Buy</w:t>
            </w:r>
          </w:p>
        </w:tc>
      </w:tr>
      <w:tr w:rsidR="00901EB5" w14:paraId="23E038F7" w14:textId="77777777" w:rsidTr="00214F40">
        <w:trPr>
          <w:cantSplit/>
          <w:trHeight w:hRule="exact" w:val="189"/>
        </w:trPr>
        <w:tc>
          <w:tcPr>
            <w:tcW w:w="9734" w:type="dxa"/>
            <w:gridSpan w:val="3"/>
            <w:tcBorders>
              <w:left w:val="single" w:sz="0" w:space="0" w:color="A5A5A5"/>
              <w:bottom w:val="single" w:sz="0" w:space="0" w:color="A5A5A5"/>
              <w:right w:val="single" w:sz="0" w:space="0" w:color="A5A5A5"/>
            </w:tcBorders>
            <w:shd w:val="clear" w:color="auto" w:fill="A5A5A5"/>
            <w:tcMar>
              <w:top w:w="0" w:type="dxa"/>
              <w:left w:w="0" w:type="dxa"/>
              <w:bottom w:w="0" w:type="dxa"/>
              <w:right w:w="0" w:type="dxa"/>
            </w:tcMar>
          </w:tcPr>
          <w:p w14:paraId="51A78D30" w14:textId="77777777" w:rsidR="00901EB5" w:rsidRDefault="00901EB5"/>
        </w:tc>
      </w:tr>
      <w:tr w:rsidR="00901EB5" w14:paraId="6767BA84" w14:textId="77777777" w:rsidTr="00214F40">
        <w:trPr>
          <w:cantSplit/>
          <w:trHeight w:hRule="exact" w:val="600"/>
        </w:trPr>
        <w:tc>
          <w:tcPr>
            <w:tcW w:w="6179" w:type="dxa"/>
            <w:gridSpan w:val="2"/>
            <w:tcBorders>
              <w:top w:val="single" w:sz="0" w:space="0" w:color="A5A5A5"/>
              <w:left w:val="single" w:sz="0" w:space="0" w:color="7030A0"/>
              <w:bottom w:val="single" w:sz="0" w:space="0" w:color="7030A0"/>
            </w:tcBorders>
            <w:shd w:val="clear" w:color="auto" w:fill="7030A0"/>
            <w:tcMar>
              <w:top w:w="0" w:type="dxa"/>
              <w:left w:w="0" w:type="dxa"/>
              <w:bottom w:w="0" w:type="dxa"/>
              <w:right w:w="0" w:type="dxa"/>
            </w:tcMar>
          </w:tcPr>
          <w:p w14:paraId="6BF61CFE" w14:textId="77777777" w:rsidR="00901EB5" w:rsidRDefault="00214F40" w:rsidP="00214F40">
            <w:pPr>
              <w:spacing w:before="102"/>
              <w:ind w:right="-20"/>
              <w:rPr>
                <w:rFonts w:ascii="Calibri" w:eastAsia="Calibri" w:hAnsi="Calibri" w:cs="Calibri"/>
                <w:i/>
                <w:iCs/>
                <w:color w:val="FFFFFF"/>
                <w:sz w:val="32"/>
                <w:szCs w:val="32"/>
              </w:rPr>
            </w:pPr>
            <w:r>
              <w:rPr>
                <w:rFonts w:ascii="Calibri" w:eastAsia="Calibri" w:hAnsi="Calibri" w:cs="Calibri"/>
                <w:i/>
                <w:iCs/>
                <w:color w:val="FFFFFF"/>
                <w:sz w:val="32"/>
                <w:szCs w:val="32"/>
              </w:rPr>
              <w:t xml:space="preserve">     Current Price: £1.45 / Target Price: £2.</w:t>
            </w:r>
            <w:r w:rsidR="006D4F1C">
              <w:rPr>
                <w:rFonts w:ascii="Calibri" w:eastAsia="Calibri" w:hAnsi="Calibri" w:cs="Calibri"/>
                <w:i/>
                <w:iCs/>
                <w:color w:val="FFFFFF"/>
                <w:sz w:val="32"/>
                <w:szCs w:val="32"/>
              </w:rPr>
              <w:t>08</w:t>
            </w:r>
          </w:p>
        </w:tc>
        <w:tc>
          <w:tcPr>
            <w:tcW w:w="3555" w:type="dxa"/>
            <w:tcBorders>
              <w:top w:val="single" w:sz="0" w:space="0" w:color="A5A5A5"/>
              <w:bottom w:val="single" w:sz="12" w:space="0" w:color="808080"/>
              <w:right w:val="single" w:sz="0" w:space="0" w:color="7030A0"/>
            </w:tcBorders>
            <w:shd w:val="clear" w:color="auto" w:fill="7030A0"/>
            <w:tcMar>
              <w:top w:w="0" w:type="dxa"/>
              <w:left w:w="0" w:type="dxa"/>
              <w:bottom w:w="0" w:type="dxa"/>
              <w:right w:w="0" w:type="dxa"/>
            </w:tcMar>
          </w:tcPr>
          <w:p w14:paraId="5BC31E21" w14:textId="77777777" w:rsidR="00901EB5" w:rsidRDefault="00901EB5" w:rsidP="00214F40">
            <w:pPr>
              <w:spacing w:before="102"/>
              <w:ind w:right="-20"/>
              <w:rPr>
                <w:rFonts w:ascii="Calibri" w:eastAsia="Calibri" w:hAnsi="Calibri" w:cs="Calibri"/>
                <w:i/>
                <w:iCs/>
                <w:color w:val="FFFFFF"/>
                <w:sz w:val="32"/>
                <w:szCs w:val="32"/>
              </w:rPr>
            </w:pPr>
          </w:p>
        </w:tc>
      </w:tr>
    </w:tbl>
    <w:p w14:paraId="116B54B0" w14:textId="47E7283A" w:rsidR="00901EB5" w:rsidRDefault="00901EB5" w:rsidP="00214F40">
      <w:pPr>
        <w:spacing w:line="91" w:lineRule="exact"/>
        <w:rPr>
          <w:rFonts w:ascii="Times New Roman" w:eastAsia="Times New Roman" w:hAnsi="Times New Roman" w:cs="Times New Roman"/>
          <w:sz w:val="9"/>
          <w:szCs w:val="9"/>
        </w:rPr>
      </w:pPr>
    </w:p>
    <w:p w14:paraId="5D9CABA4" w14:textId="77777777" w:rsidR="00901EB5" w:rsidRDefault="00901EB5" w:rsidP="00214F40">
      <w:pPr>
        <w:sectPr w:rsidR="00901EB5" w:rsidSect="0031189E">
          <w:footerReference w:type="even" r:id="rId9"/>
          <w:footerReference w:type="default" r:id="rId10"/>
          <w:type w:val="continuous"/>
          <w:pgSz w:w="10800" w:h="15600"/>
          <w:pgMar w:top="353" w:right="513" w:bottom="1134" w:left="637" w:header="0" w:footer="227" w:gutter="0"/>
          <w:cols w:space="708"/>
          <w:docGrid w:linePitch="326"/>
        </w:sectPr>
      </w:pPr>
    </w:p>
    <w:p w14:paraId="5E71AC43" w14:textId="77777777" w:rsidR="006D4F1C" w:rsidRDefault="006D4F1C" w:rsidP="006D4F1C">
      <w:pPr>
        <w:spacing w:line="235" w:lineRule="auto"/>
        <w:ind w:left="600" w:right="-20"/>
        <w:rPr>
          <w:rFonts w:ascii="Times New Roman" w:eastAsia="Times New Roman" w:hAnsi="Times New Roman" w:cs="Times New Roman"/>
        </w:rPr>
      </w:pPr>
    </w:p>
    <w:p w14:paraId="49EA5F94" w14:textId="77777777" w:rsidR="006D4F1C" w:rsidRDefault="006D4F1C" w:rsidP="006D4F1C">
      <w:pPr>
        <w:spacing w:line="235" w:lineRule="auto"/>
        <w:ind w:left="600" w:right="-20"/>
        <w:rPr>
          <w:rFonts w:ascii="Times New Roman" w:eastAsia="Times New Roman" w:hAnsi="Times New Roman" w:cs="Times New Roman"/>
        </w:rPr>
      </w:pPr>
    </w:p>
    <w:p w14:paraId="3F61976B" w14:textId="77777777" w:rsidR="006D4F1C" w:rsidRPr="004177C8" w:rsidRDefault="008B48BC" w:rsidP="004177C8">
      <w:pPr>
        <w:pStyle w:val="ListParagraph"/>
        <w:numPr>
          <w:ilvl w:val="0"/>
          <w:numId w:val="1"/>
        </w:numPr>
        <w:spacing w:line="235" w:lineRule="auto"/>
        <w:ind w:right="-20"/>
        <w:rPr>
          <w:rFonts w:ascii="Calibri" w:eastAsia="Calibri" w:hAnsi="Calibri" w:cs="Calibri"/>
          <w:color w:val="7030A0"/>
        </w:rPr>
      </w:pPr>
      <w:r w:rsidRPr="004177C8">
        <w:rPr>
          <w:rFonts w:ascii="Calibri" w:eastAsia="Calibri" w:hAnsi="Calibri" w:cs="Calibri"/>
          <w:color w:val="000000"/>
        </w:rPr>
        <w:t>We see a long term</w:t>
      </w:r>
      <w:r w:rsidR="006D4F1C" w:rsidRPr="004177C8">
        <w:rPr>
          <w:rFonts w:ascii="Calibri" w:eastAsia="Calibri" w:hAnsi="Calibri" w:cs="Calibri"/>
          <w:color w:val="000000"/>
          <w:spacing w:val="2"/>
        </w:rPr>
        <w:t xml:space="preserve"> 44%</w:t>
      </w:r>
      <w:r w:rsidRPr="004177C8">
        <w:rPr>
          <w:rFonts w:ascii="Calibri" w:eastAsia="Calibri" w:hAnsi="Calibri" w:cs="Calibri"/>
          <w:color w:val="7030A0"/>
          <w:spacing w:val="1"/>
        </w:rPr>
        <w:t xml:space="preserve"> </w:t>
      </w:r>
      <w:r w:rsidRPr="004177C8">
        <w:rPr>
          <w:rFonts w:ascii="Calibri" w:eastAsia="Calibri" w:hAnsi="Calibri" w:cs="Calibri"/>
          <w:color w:val="000000"/>
        </w:rPr>
        <w:t>potentia</w:t>
      </w:r>
      <w:r w:rsidR="006D4F1C" w:rsidRPr="004177C8">
        <w:rPr>
          <w:rFonts w:ascii="Calibri" w:eastAsia="Calibri" w:hAnsi="Calibri" w:cs="Calibri"/>
          <w:color w:val="000000"/>
        </w:rPr>
        <w:t xml:space="preserve">l upside </w:t>
      </w:r>
      <w:r w:rsidRPr="004177C8">
        <w:rPr>
          <w:rFonts w:ascii="Calibri" w:eastAsia="Calibri" w:hAnsi="Calibri" w:cs="Calibri"/>
          <w:color w:val="000000"/>
        </w:rPr>
        <w:t xml:space="preserve">in the share prices </w:t>
      </w:r>
      <w:r w:rsidR="006D4F1C" w:rsidRPr="004177C8">
        <w:rPr>
          <w:rFonts w:ascii="Calibri" w:eastAsia="Calibri" w:hAnsi="Calibri" w:cs="Calibri"/>
          <w:color w:val="000000"/>
        </w:rPr>
        <w:t>of Urban Logistics REIT</w:t>
      </w:r>
      <w:r w:rsidR="006D4F1C" w:rsidRPr="004177C8">
        <w:rPr>
          <w:rFonts w:ascii="Calibri" w:eastAsia="Calibri" w:hAnsi="Calibri" w:cs="Calibri"/>
          <w:color w:val="7030A0"/>
        </w:rPr>
        <w:t xml:space="preserve">. </w:t>
      </w:r>
    </w:p>
    <w:p w14:paraId="1DFAB7DE" w14:textId="77777777" w:rsidR="006D4F1C" w:rsidRDefault="006D4F1C" w:rsidP="006D4F1C">
      <w:pPr>
        <w:spacing w:line="235" w:lineRule="auto"/>
        <w:ind w:left="600" w:right="-20"/>
        <w:rPr>
          <w:rFonts w:ascii="Calibri" w:eastAsia="Calibri" w:hAnsi="Calibri" w:cs="Calibri"/>
          <w:color w:val="7030A0"/>
        </w:rPr>
      </w:pPr>
    </w:p>
    <w:p w14:paraId="366C8AE1" w14:textId="77777777" w:rsidR="00901EB5" w:rsidRPr="004177C8" w:rsidRDefault="006D4F1C" w:rsidP="004177C8">
      <w:pPr>
        <w:pStyle w:val="ListParagraph"/>
        <w:numPr>
          <w:ilvl w:val="0"/>
          <w:numId w:val="1"/>
        </w:numPr>
        <w:spacing w:line="235" w:lineRule="auto"/>
        <w:ind w:right="-20"/>
        <w:rPr>
          <w:rFonts w:ascii="Calibri" w:eastAsia="Calibri" w:hAnsi="Calibri" w:cs="Calibri"/>
          <w:color w:val="7030A0"/>
        </w:rPr>
      </w:pPr>
      <w:r w:rsidRPr="004177C8">
        <w:rPr>
          <w:rFonts w:ascii="Calibri" w:eastAsia="Calibri" w:hAnsi="Calibri" w:cs="Calibri"/>
          <w:color w:val="000000"/>
        </w:rPr>
        <w:t>This is due to</w:t>
      </w:r>
      <w:r w:rsidR="00C26D51">
        <w:rPr>
          <w:rFonts w:ascii="Calibri" w:eastAsia="Calibri" w:hAnsi="Calibri" w:cs="Calibri"/>
          <w:color w:val="000000"/>
        </w:rPr>
        <w:t xml:space="preserve"> unpriced</w:t>
      </w:r>
      <w:r w:rsidRPr="004177C8">
        <w:rPr>
          <w:rFonts w:ascii="Calibri" w:eastAsia="Calibri" w:hAnsi="Calibri" w:cs="Calibri"/>
          <w:color w:val="000000"/>
        </w:rPr>
        <w:t xml:space="preserve"> structural shifts in </w:t>
      </w:r>
      <w:r w:rsidR="004177C8">
        <w:rPr>
          <w:rFonts w:ascii="Calibri" w:eastAsia="Calibri" w:hAnsi="Calibri" w:cs="Calibri"/>
          <w:color w:val="000000"/>
        </w:rPr>
        <w:t>last mile warehousing</w:t>
      </w:r>
      <w:r w:rsidR="00C26D51">
        <w:rPr>
          <w:rFonts w:ascii="Calibri" w:eastAsia="Calibri" w:hAnsi="Calibri" w:cs="Calibri"/>
          <w:color w:val="000000"/>
        </w:rPr>
        <w:t>.</w:t>
      </w:r>
    </w:p>
    <w:p w14:paraId="7D189B4C" w14:textId="77777777" w:rsidR="00901EB5" w:rsidRDefault="008B48BC" w:rsidP="005810D9">
      <w:pPr>
        <w:spacing w:line="235" w:lineRule="auto"/>
        <w:ind w:right="2395"/>
        <w:rPr>
          <w:rFonts w:ascii="Calibri" w:eastAsia="Calibri" w:hAnsi="Calibri" w:cs="Calibri"/>
          <w:i/>
          <w:iCs/>
          <w:color w:val="7030A0"/>
          <w:sz w:val="22"/>
          <w:szCs w:val="22"/>
        </w:rPr>
      </w:pPr>
      <w:r>
        <w:br w:type="column"/>
      </w:r>
    </w:p>
    <w:p w14:paraId="340AB057" w14:textId="77777777" w:rsidR="00901EB5" w:rsidRDefault="00901EB5">
      <w:pPr>
        <w:sectPr w:rsidR="00901EB5">
          <w:type w:val="continuous"/>
          <w:pgSz w:w="10800" w:h="15600"/>
          <w:pgMar w:top="353" w:right="513" w:bottom="1134" w:left="637" w:header="720" w:footer="720" w:gutter="0"/>
          <w:cols w:num="2" w:space="708" w:equalWidth="0">
            <w:col w:w="5034" w:space="1146"/>
            <w:col w:w="3469" w:space="0"/>
          </w:cols>
        </w:sectPr>
      </w:pPr>
    </w:p>
    <w:p w14:paraId="191BCBA8" w14:textId="77777777" w:rsidR="00901EB5" w:rsidRPr="000F1553" w:rsidRDefault="00BB5965" w:rsidP="000F1553">
      <w:pPr>
        <w:ind w:right="-20"/>
        <w:rPr>
          <w:rFonts w:ascii="Calibri" w:eastAsia="Calibri" w:hAnsi="Calibri" w:cs="Calibri"/>
          <w:b/>
          <w:bCs/>
          <w:i/>
          <w:iCs/>
          <w:color w:val="44546A"/>
          <w:sz w:val="36"/>
          <w:szCs w:val="36"/>
        </w:rPr>
        <w:sectPr w:rsidR="00901EB5" w:rsidRPr="000F1553">
          <w:type w:val="continuous"/>
          <w:pgSz w:w="10800" w:h="15600"/>
          <w:pgMar w:top="353" w:right="513" w:bottom="1134" w:left="637" w:header="720" w:footer="720" w:gutter="0"/>
          <w:cols w:space="708"/>
        </w:sectPr>
      </w:pPr>
      <w:r>
        <w:rPr>
          <w:noProof/>
        </w:rPr>
        <mc:AlternateContent>
          <mc:Choice Requires="wps">
            <w:drawing>
              <wp:anchor distT="0" distB="0" distL="114300" distR="114300" simplePos="0" relativeHeight="251672064" behindDoc="0" locked="0" layoutInCell="1" allowOverlap="1" wp14:anchorId="53E53928" wp14:editId="1BCEA739">
                <wp:simplePos x="0" y="0"/>
                <wp:positionH relativeFrom="column">
                  <wp:posOffset>4149725</wp:posOffset>
                </wp:positionH>
                <wp:positionV relativeFrom="paragraph">
                  <wp:posOffset>386965</wp:posOffset>
                </wp:positionV>
                <wp:extent cx="1761067" cy="270933"/>
                <wp:effectExtent l="0" t="0" r="0" b="0"/>
                <wp:wrapNone/>
                <wp:docPr id="60" name="Text Box 60"/>
                <wp:cNvGraphicFramePr/>
                <a:graphic xmlns:a="http://schemas.openxmlformats.org/drawingml/2006/main">
                  <a:graphicData uri="http://schemas.microsoft.com/office/word/2010/wordprocessingShape">
                    <wps:wsp>
                      <wps:cNvSpPr txBox="1"/>
                      <wps:spPr>
                        <a:xfrm>
                          <a:off x="0" y="0"/>
                          <a:ext cx="1761067" cy="270933"/>
                        </a:xfrm>
                        <a:prstGeom prst="rect">
                          <a:avLst/>
                        </a:prstGeom>
                        <a:noFill/>
                        <a:ln w="6350">
                          <a:noFill/>
                        </a:ln>
                      </wps:spPr>
                      <wps:txbx>
                        <w:txbxContent>
                          <w:p w14:paraId="2C9FA922" w14:textId="77777777" w:rsidR="00062D14" w:rsidRPr="00BA77F3" w:rsidRDefault="00062D14" w:rsidP="00BA77F3">
                            <w:pPr>
                              <w:jc w:val="center"/>
                              <w:rPr>
                                <w:color w:val="FFFFFF" w:themeColor="background1"/>
                                <w:sz w:val="20"/>
                                <w:szCs w:val="20"/>
                              </w:rPr>
                            </w:pPr>
                            <w:r w:rsidRPr="00BA77F3">
                              <w:rPr>
                                <w:color w:val="FFFFFF" w:themeColor="background1"/>
                                <w:sz w:val="22"/>
                                <w:szCs w:val="22"/>
                              </w:rPr>
                              <w:t>Market Data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3E53928" id="_x0000_t202" coordsize="21600,21600" o:spt="202" path="m,l,21600r21600,l21600,xe">
                <v:stroke joinstyle="miter"/>
                <v:path gradientshapeok="t" o:connecttype="rect"/>
              </v:shapetype>
              <v:shape id="Text Box 60" o:spid="_x0000_s1026" type="#_x0000_t202" style="position:absolute;margin-left:326.75pt;margin-top:30.45pt;width:138.65pt;height:21.35pt;z-index:251672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" filled="f" stroked="f" strokeweight=".5pt">
                <v:textbox>
                  <w:txbxContent>
                    <w:p w14:paraId="2C9FA922" w14:textId="77777777" w:rsidR="00062D14" w:rsidRPr="00BA77F3" w:rsidRDefault="00062D14" w:rsidP="00BA77F3">
                      <w:pPr>
                        <w:jc w:val="center"/>
                        <w:rPr>
                          <w:color w:val="FFFFFF" w:themeColor="background1"/>
                          <w:sz w:val="20"/>
                          <w:szCs w:val="20"/>
                        </w:rPr>
                      </w:pPr>
                      <w:r w:rsidRPr="00BA77F3">
                        <w:rPr>
                          <w:color w:val="FFFFFF" w:themeColor="background1"/>
                          <w:sz w:val="22"/>
                          <w:szCs w:val="22"/>
                        </w:rPr>
                        <w:t>Market Data</w:t>
                      </w:r>
                    </w:p>
                  </w:txbxContent>
                </v:textbox>
              </v:shape>
            </w:pict>
          </mc:Fallback>
        </mc:AlternateContent>
      </w:r>
      <w:r>
        <w:rPr>
          <w:noProof/>
        </w:rPr>
        <mc:AlternateContent>
          <mc:Choice Requires="wps">
            <w:drawing>
              <wp:anchor distT="0" distB="0" distL="0" distR="0" simplePos="0" relativeHeight="251663872" behindDoc="1" locked="0" layoutInCell="0" allowOverlap="1" wp14:anchorId="61F1FA90" wp14:editId="1B2663BF">
                <wp:simplePos x="0" y="0"/>
                <wp:positionH relativeFrom="page">
                  <wp:posOffset>4418330</wp:posOffset>
                </wp:positionH>
                <wp:positionV relativeFrom="paragraph">
                  <wp:posOffset>413218</wp:posOffset>
                </wp:positionV>
                <wp:extent cx="2051999" cy="188486"/>
                <wp:effectExtent l="0" t="0" r="5715" b="2540"/>
                <wp:wrapNone/>
                <wp:docPr id="8" name="drawingObject8"/>
                <wp:cNvGraphicFramePr/>
                <a:graphic xmlns:a="http://schemas.openxmlformats.org/drawingml/2006/main">
                  <a:graphicData uri="http://schemas.microsoft.com/office/word/2010/wordprocessingShape">
                    <wps:wsp>
                      <wps:cNvSpPr/>
                      <wps:spPr>
                        <a:xfrm>
                          <a:off x="0" y="0"/>
                          <a:ext cx="2051999" cy="188486"/>
                        </a:xfrm>
                        <a:custGeom>
                          <a:avLst/>
                          <a:gdLst/>
                          <a:ahLst/>
                          <a:cxnLst/>
                          <a:rect l="0" t="0" r="0" b="0"/>
                          <a:pathLst>
                            <a:path w="2051999" h="188486">
                              <a:moveTo>
                                <a:pt x="0" y="0"/>
                              </a:moveTo>
                              <a:lnTo>
                                <a:pt x="0" y="188486"/>
                              </a:lnTo>
                              <a:lnTo>
                                <a:pt x="2051999" y="188486"/>
                              </a:lnTo>
                              <a:lnTo>
                                <a:pt x="2051999" y="0"/>
                              </a:lnTo>
                              <a:lnTo>
                                <a:pt x="0" y="0"/>
                              </a:lnTo>
                            </a:path>
                          </a:pathLst>
                        </a:custGeom>
                        <a:solidFill>
                          <a:srgbClr val="44546A"/>
                        </a:solidFill>
                      </wps:spPr>
                      <wps:bodyPr vertOverflow="overflow" horzOverflow="overflow" vert="horz" lIns="91440" tIns="45720" rIns="91440" bIns="45720" anchor="t"/>
                    </wps:wsp>
                  </a:graphicData>
                </a:graphic>
                <wp14:sizeRelH relativeFrom="margin">
                  <wp14:pctWidth>0</wp14:pctWidth>
                </wp14:sizeRelH>
                <wp14:sizeRelV relativeFrom="margin">
                  <wp14:pctHeight>0</wp14:pctHeight>
                </wp14:sizeRelV>
              </wp:anchor>
            </w:drawing>
          </mc:Choice>
          <mc:Fallback>
            <w:pict>
              <v:shape w14:anchorId="6EC524A5" id="drawingObject8" o:spid="_x0000_s1026" style="position:absolute;margin-left:347.9pt;margin-top:32.55pt;width:161.55pt;height:14.85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coordsize="2051999,188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" o:allowincell="f" path="m,l,188486r2051999,l2051999,,,e" fillcolor="#44546a" stroked="f">
                <v:path arrowok="t" textboxrect="0,0,2051999,188486"/>
                <w10:wrap anchorx="page"/>
              </v:shape>
            </w:pict>
          </mc:Fallback>
        </mc:AlternateContent>
      </w:r>
      <w:r w:rsidR="008B48BC">
        <w:rPr>
          <w:rFonts w:ascii="Calibri" w:eastAsia="Calibri" w:hAnsi="Calibri" w:cs="Calibri"/>
          <w:b/>
          <w:bCs/>
          <w:i/>
          <w:iCs/>
          <w:color w:val="44546A"/>
          <w:sz w:val="36"/>
          <w:szCs w:val="36"/>
        </w:rPr>
        <w:t>Executive</w:t>
      </w:r>
      <w:r w:rsidR="008B48BC">
        <w:rPr>
          <w:rFonts w:ascii="Calibri" w:eastAsia="Calibri" w:hAnsi="Calibri" w:cs="Calibri"/>
          <w:color w:val="44546A"/>
          <w:sz w:val="36"/>
          <w:szCs w:val="36"/>
        </w:rPr>
        <w:t xml:space="preserve"> </w:t>
      </w:r>
      <w:r w:rsidR="008B48BC">
        <w:rPr>
          <w:rFonts w:ascii="Calibri" w:eastAsia="Calibri" w:hAnsi="Calibri" w:cs="Calibri"/>
          <w:b/>
          <w:bCs/>
          <w:i/>
          <w:iCs/>
          <w:color w:val="44546A"/>
          <w:sz w:val="36"/>
          <w:szCs w:val="36"/>
        </w:rPr>
        <w:t>Summary</w:t>
      </w:r>
      <w:r w:rsidR="00D66805">
        <w:rPr>
          <w:noProof/>
        </w:rPr>
        <mc:AlternateContent>
          <mc:Choice Requires="wps">
            <w:drawing>
              <wp:anchor distT="0" distB="0" distL="0" distR="0" simplePos="0" relativeHeight="251652608" behindDoc="1" locked="0" layoutInCell="0" allowOverlap="1" wp14:anchorId="2ACD4C69" wp14:editId="20F93090">
                <wp:simplePos x="0" y="0"/>
                <wp:positionH relativeFrom="page">
                  <wp:posOffset>4336793</wp:posOffset>
                </wp:positionH>
                <wp:positionV relativeFrom="paragraph">
                  <wp:posOffset>238301</wp:posOffset>
                </wp:positionV>
                <wp:extent cx="2306955" cy="0"/>
                <wp:effectExtent l="0" t="12700" r="17145" b="12700"/>
                <wp:wrapNone/>
                <wp:docPr id="1" name="drawingObject1"/>
                <wp:cNvGraphicFramePr/>
                <a:graphic xmlns:a="http://schemas.openxmlformats.org/drawingml/2006/main">
                  <a:graphicData uri="http://schemas.microsoft.com/office/word/2010/wordprocessingShape">
                    <wps:wsp>
                      <wps:cNvSpPr/>
                      <wps:spPr>
                        <a:xfrm>
                          <a:off x="0" y="0"/>
                          <a:ext cx="2306955" cy="0"/>
                        </a:xfrm>
                        <a:custGeom>
                          <a:avLst/>
                          <a:gdLst/>
                          <a:ahLst/>
                          <a:cxnLst/>
                          <a:rect l="0" t="0" r="0" b="0"/>
                          <a:pathLst>
                            <a:path w="2307287">
                              <a:moveTo>
                                <a:pt x="0" y="0"/>
                              </a:moveTo>
                              <a:lnTo>
                                <a:pt x="2307287" y="0"/>
                              </a:lnTo>
                            </a:path>
                          </a:pathLst>
                        </a:custGeom>
                        <a:noFill/>
                        <a:ln w="19050" cap="flat">
                          <a:solidFill>
                            <a:srgbClr val="808080"/>
                          </a:solidFill>
                          <a:prstDash/>
                        </a:ln>
                      </wps:spPr>
                      <wps:bodyPr vertOverflow="overflow" horzOverflow="overflow" vert="horz" lIns="91440" tIns="45720" rIns="91440" bIns="45720" anchor="t"/>
                    </wps:wsp>
                  </a:graphicData>
                </a:graphic>
              </wp:anchor>
            </w:drawing>
          </mc:Choice>
          <mc:Fallback>
            <w:pict>
              <v:shape w14:anchorId="29E2059C" id="drawingObject1" o:spid="_x0000_s1026" style="position:absolute;margin-left:341.5pt;margin-top:18.75pt;width:181.65pt;height:0;z-index:-251663872;visibility:visible;mso-wrap-style:square;mso-wrap-distance-left:0;mso-wrap-distance-top:0;mso-wrap-distance-right:0;mso-wrap-distance-bottom:0;mso-position-horizontal:absolute;mso-position-horizontal-relative:page;mso-position-vertical:absolute;mso-position-vertical-relative:text;v-text-anchor:top" coordsize="23072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" o:allowincell="f" path="m,l2307287,e" filled="f" strokecolor="gray" strokeweight="1.5pt">
                <v:path arrowok="t" textboxrect="0,0,2307287,0"/>
                <w10:wrap anchorx="page"/>
              </v:shape>
            </w:pict>
          </mc:Fallback>
        </mc:AlternateContent>
      </w:r>
    </w:p>
    <w:p w14:paraId="5A609B89" w14:textId="77777777" w:rsidR="000F1553" w:rsidRDefault="000F1553" w:rsidP="007C4AF4">
      <w:pPr>
        <w:spacing w:line="235" w:lineRule="auto"/>
        <w:ind w:right="-20"/>
        <w:rPr>
          <w:rFonts w:ascii="Calibri" w:eastAsia="Calibri" w:hAnsi="Calibri" w:cs="Calibri"/>
          <w:color w:val="000000"/>
          <w:sz w:val="22"/>
          <w:szCs w:val="22"/>
        </w:rPr>
      </w:pPr>
    </w:p>
    <w:p w14:paraId="473BB6C1" w14:textId="77777777" w:rsidR="007C4AF4" w:rsidRDefault="008B48BC" w:rsidP="007C4AF4">
      <w:pPr>
        <w:spacing w:line="235" w:lineRule="auto"/>
        <w:ind w:right="-20"/>
        <w:rPr>
          <w:rFonts w:ascii="Calibri" w:eastAsia="Calibri" w:hAnsi="Calibri" w:cs="Calibri"/>
          <w:color w:val="000000"/>
          <w:sz w:val="22"/>
          <w:szCs w:val="22"/>
        </w:rPr>
      </w:pPr>
      <w:r>
        <w:rPr>
          <w:rFonts w:ascii="Calibri" w:eastAsia="Calibri" w:hAnsi="Calibri" w:cs="Calibri"/>
          <w:color w:val="000000"/>
          <w:sz w:val="22"/>
          <w:szCs w:val="22"/>
        </w:rPr>
        <w:t>Our financial analysis leads us to recommend a</w:t>
      </w:r>
      <w:r w:rsidR="00D66805">
        <w:rPr>
          <w:rFonts w:ascii="Calibri" w:eastAsia="Calibri" w:hAnsi="Calibri" w:cs="Calibri"/>
          <w:color w:val="000000"/>
          <w:sz w:val="22"/>
          <w:szCs w:val="22"/>
        </w:rPr>
        <w:t xml:space="preserve"> long </w:t>
      </w:r>
      <w:r>
        <w:rPr>
          <w:rFonts w:ascii="Calibri" w:eastAsia="Calibri" w:hAnsi="Calibri" w:cs="Calibri"/>
          <w:color w:val="000000"/>
          <w:sz w:val="22"/>
          <w:szCs w:val="22"/>
        </w:rPr>
        <w:t>position in</w:t>
      </w:r>
      <w:r w:rsidR="00D66805">
        <w:rPr>
          <w:rFonts w:ascii="Calibri" w:eastAsia="Calibri" w:hAnsi="Calibri" w:cs="Calibri"/>
          <w:color w:val="000000"/>
          <w:spacing w:val="-6"/>
          <w:sz w:val="22"/>
          <w:szCs w:val="22"/>
        </w:rPr>
        <w:t xml:space="preserve"> Urban Logistics REIT </w:t>
      </w:r>
      <w:r>
        <w:rPr>
          <w:rFonts w:ascii="Calibri" w:eastAsia="Calibri" w:hAnsi="Calibri" w:cs="Calibri"/>
          <w:color w:val="000000"/>
          <w:sz w:val="22"/>
          <w:szCs w:val="22"/>
        </w:rPr>
        <w:t>with a long-term price target</w:t>
      </w:r>
      <w:r w:rsidR="00D66805">
        <w:rPr>
          <w:rFonts w:ascii="Calibri" w:eastAsia="Calibri" w:hAnsi="Calibri" w:cs="Calibri"/>
          <w:color w:val="000000"/>
          <w:spacing w:val="-1"/>
          <w:sz w:val="22"/>
          <w:szCs w:val="22"/>
        </w:rPr>
        <w:t xml:space="preserve"> of £2.08. </w:t>
      </w:r>
      <w:r>
        <w:rPr>
          <w:rFonts w:ascii="Calibri" w:eastAsia="Calibri" w:hAnsi="Calibri" w:cs="Calibri"/>
          <w:color w:val="000000"/>
          <w:sz w:val="22"/>
          <w:szCs w:val="22"/>
        </w:rPr>
        <w:t xml:space="preserve">This </w:t>
      </w:r>
      <w:r w:rsidR="00D66805">
        <w:rPr>
          <w:rFonts w:ascii="Calibri" w:eastAsia="Calibri" w:hAnsi="Calibri" w:cs="Calibri"/>
          <w:color w:val="000000"/>
          <w:sz w:val="22"/>
          <w:szCs w:val="22"/>
        </w:rPr>
        <w:t xml:space="preserve">price target </w:t>
      </w:r>
      <w:r>
        <w:rPr>
          <w:rFonts w:ascii="Calibri" w:eastAsia="Calibri" w:hAnsi="Calibri" w:cs="Calibri"/>
          <w:color w:val="000000"/>
          <w:sz w:val="22"/>
          <w:szCs w:val="22"/>
        </w:rPr>
        <w:t>implies</w:t>
      </w:r>
      <w:r w:rsidR="00D66805">
        <w:rPr>
          <w:rFonts w:ascii="Calibri" w:eastAsia="Calibri" w:hAnsi="Calibri" w:cs="Calibri"/>
          <w:color w:val="000000"/>
          <w:spacing w:val="-2"/>
          <w:sz w:val="22"/>
          <w:szCs w:val="22"/>
        </w:rPr>
        <w:t xml:space="preserve"> a 44% upside</w:t>
      </w:r>
      <w:r w:rsidR="00D66805">
        <w:rPr>
          <w:rFonts w:ascii="Calibri" w:eastAsia="Calibri" w:hAnsi="Calibri" w:cs="Calibri"/>
          <w:color w:val="000000"/>
          <w:sz w:val="22"/>
          <w:szCs w:val="22"/>
        </w:rPr>
        <w:t>, and is based on a set of conservative assumptions for the future performance of the company</w:t>
      </w:r>
      <w:r w:rsidR="007C4AF4">
        <w:rPr>
          <w:rFonts w:ascii="Calibri" w:eastAsia="Calibri" w:hAnsi="Calibri" w:cs="Calibri"/>
          <w:color w:val="000000"/>
          <w:sz w:val="22"/>
          <w:szCs w:val="22"/>
        </w:rPr>
        <w:t>.</w:t>
      </w:r>
    </w:p>
    <w:p w14:paraId="58DED7BD" w14:textId="77777777" w:rsidR="007C4AF4" w:rsidRDefault="007C4AF4" w:rsidP="007C4AF4">
      <w:pPr>
        <w:spacing w:line="235" w:lineRule="auto"/>
        <w:ind w:right="-20"/>
        <w:rPr>
          <w:rFonts w:ascii="Calibri" w:eastAsia="Calibri" w:hAnsi="Calibri" w:cs="Calibri"/>
          <w:color w:val="000000"/>
          <w:sz w:val="22"/>
          <w:szCs w:val="22"/>
        </w:rPr>
      </w:pPr>
    </w:p>
    <w:p w14:paraId="78074E64" w14:textId="77777777" w:rsidR="004177C8" w:rsidRDefault="00BB5965" w:rsidP="007C4AF4">
      <w:pPr>
        <w:spacing w:line="235" w:lineRule="auto"/>
        <w:ind w:right="-20"/>
        <w:rPr>
          <w:rFonts w:ascii="Calibri" w:eastAsia="Calibri" w:hAnsi="Calibri" w:cs="Calibri"/>
          <w:color w:val="000000"/>
          <w:sz w:val="22"/>
          <w:szCs w:val="22"/>
        </w:rPr>
      </w:pPr>
      <w:r>
        <w:rPr>
          <w:rFonts w:ascii="Calibri" w:eastAsia="Calibri" w:hAnsi="Calibri" w:cs="Calibri"/>
          <w:noProof/>
          <w:color w:val="000000"/>
          <w:sz w:val="22"/>
          <w:szCs w:val="22"/>
        </w:rPr>
        <mc:AlternateContent>
          <mc:Choice Requires="wps">
            <w:drawing>
              <wp:anchor distT="0" distB="0" distL="114300" distR="114300" simplePos="0" relativeHeight="251674112" behindDoc="0" locked="0" layoutInCell="1" allowOverlap="1" wp14:anchorId="12C8C4AE" wp14:editId="3B2DFBD0">
                <wp:simplePos x="0" y="0"/>
                <wp:positionH relativeFrom="column">
                  <wp:posOffset>4023360</wp:posOffset>
                </wp:positionH>
                <wp:positionV relativeFrom="paragraph">
                  <wp:posOffset>709337</wp:posOffset>
                </wp:positionV>
                <wp:extent cx="2650067" cy="3395133"/>
                <wp:effectExtent l="0" t="0" r="4445" b="0"/>
                <wp:wrapNone/>
                <wp:docPr id="62" name="Text Box 62"/>
                <wp:cNvGraphicFramePr/>
                <a:graphic xmlns:a="http://schemas.openxmlformats.org/drawingml/2006/main">
                  <a:graphicData uri="http://schemas.microsoft.com/office/word/2010/wordprocessingShape">
                    <wps:wsp>
                      <wps:cNvSpPr txBox="1"/>
                      <wps:spPr>
                        <a:xfrm>
                          <a:off x="0" y="0"/>
                          <a:ext cx="2650067" cy="3395133"/>
                        </a:xfrm>
                        <a:prstGeom prst="rect">
                          <a:avLst/>
                        </a:prstGeom>
                        <a:solidFill>
                          <a:schemeClr val="lt1"/>
                        </a:solidFill>
                        <a:ln w="6350">
                          <a:noFill/>
                        </a:ln>
                      </wps:spPr>
                      <wps:txbx>
                        <w:txbxContent>
                          <w:p w14:paraId="19B16F78" w14:textId="77777777" w:rsidR="00062D14" w:rsidRPr="00BA77F3" w:rsidRDefault="00062D14" w:rsidP="00BA77F3">
                            <w:pPr>
                              <w:tabs>
                                <w:tab w:val="left" w:pos="2307"/>
                              </w:tabs>
                              <w:spacing w:before="62" w:line="255" w:lineRule="auto"/>
                              <w:ind w:right="317"/>
                              <w:rPr>
                                <w:rFonts w:ascii="Calibri" w:eastAsia="Calibri" w:hAnsi="Calibri" w:cs="Calibri"/>
                                <w:color w:val="000000"/>
                                <w:sz w:val="20"/>
                                <w:szCs w:val="20"/>
                              </w:rPr>
                            </w:pPr>
                            <w:r w:rsidRPr="00BA77F3">
                              <w:rPr>
                                <w:rFonts w:ascii="Calibri" w:eastAsia="Calibri" w:hAnsi="Calibri" w:cs="Calibri"/>
                                <w:b/>
                                <w:bCs/>
                                <w:color w:val="000000"/>
                                <w:sz w:val="20"/>
                                <w:szCs w:val="20"/>
                              </w:rPr>
                              <w:t>Rathbone</w:t>
                            </w:r>
                            <w:r w:rsidRPr="00BA77F3">
                              <w:rPr>
                                <w:rFonts w:ascii="Calibri" w:eastAsia="Calibri" w:hAnsi="Calibri" w:cs="Calibri"/>
                                <w:b/>
                                <w:bCs/>
                                <w:color w:val="000000"/>
                                <w:sz w:val="20"/>
                                <w:szCs w:val="20"/>
                              </w:rPr>
                              <w:tab/>
                            </w:r>
                            <w:r w:rsidRPr="00BA77F3">
                              <w:rPr>
                                <w:rFonts w:ascii="Calibri" w:eastAsia="Calibri" w:hAnsi="Calibri" w:cs="Calibri"/>
                                <w:color w:val="000000"/>
                                <w:sz w:val="20"/>
                                <w:szCs w:val="20"/>
                              </w:rPr>
                              <w:t xml:space="preserve">10.48% </w:t>
                            </w:r>
                          </w:p>
                          <w:p w14:paraId="470E06A4" w14:textId="77777777" w:rsidR="00062D14" w:rsidRDefault="00062D14" w:rsidP="00BA77F3">
                            <w:pPr>
                              <w:tabs>
                                <w:tab w:val="left" w:pos="2307"/>
                              </w:tabs>
                              <w:spacing w:before="62" w:line="255" w:lineRule="auto"/>
                              <w:ind w:right="317"/>
                              <w:rPr>
                                <w:rFonts w:ascii="Calibri" w:eastAsia="Calibri" w:hAnsi="Calibri" w:cs="Calibri"/>
                                <w:b/>
                                <w:bCs/>
                                <w:color w:val="000000"/>
                                <w:sz w:val="20"/>
                                <w:szCs w:val="20"/>
                              </w:rPr>
                            </w:pPr>
                          </w:p>
                          <w:p w14:paraId="00219654" w14:textId="77777777" w:rsidR="00062D14" w:rsidRPr="00BA77F3" w:rsidRDefault="00062D14" w:rsidP="00BA77F3">
                            <w:pPr>
                              <w:tabs>
                                <w:tab w:val="left" w:pos="2307"/>
                              </w:tabs>
                              <w:spacing w:before="62" w:line="255" w:lineRule="auto"/>
                              <w:ind w:right="317"/>
                              <w:rPr>
                                <w:rFonts w:ascii="Calibri" w:eastAsia="Calibri" w:hAnsi="Calibri" w:cs="Calibri"/>
                                <w:color w:val="000000"/>
                                <w:sz w:val="20"/>
                                <w:szCs w:val="20"/>
                              </w:rPr>
                            </w:pPr>
                            <w:r w:rsidRPr="00BA77F3">
                              <w:rPr>
                                <w:rFonts w:ascii="Calibri" w:eastAsia="Calibri" w:hAnsi="Calibri" w:cs="Calibri"/>
                                <w:b/>
                                <w:bCs/>
                                <w:color w:val="000000"/>
                                <w:sz w:val="20"/>
                                <w:szCs w:val="20"/>
                              </w:rPr>
                              <w:t>Allianz</w:t>
                            </w:r>
                            <w:r w:rsidRPr="00BA77F3">
                              <w:rPr>
                                <w:rFonts w:ascii="Calibri" w:eastAsia="Calibri" w:hAnsi="Calibri" w:cs="Calibri"/>
                                <w:b/>
                                <w:bCs/>
                                <w:color w:val="000000"/>
                                <w:sz w:val="20"/>
                                <w:szCs w:val="20"/>
                              </w:rPr>
                              <w:tab/>
                            </w:r>
                            <w:r w:rsidRPr="00BA77F3">
                              <w:rPr>
                                <w:rFonts w:ascii="Calibri" w:eastAsia="Calibri" w:hAnsi="Calibri" w:cs="Calibri"/>
                                <w:color w:val="000000"/>
                                <w:sz w:val="20"/>
                                <w:szCs w:val="20"/>
                              </w:rPr>
                              <w:t xml:space="preserve">10.31% </w:t>
                            </w:r>
                          </w:p>
                          <w:p w14:paraId="2390B257" w14:textId="77777777" w:rsidR="00062D14" w:rsidRDefault="00062D14" w:rsidP="00BA77F3">
                            <w:pPr>
                              <w:tabs>
                                <w:tab w:val="left" w:pos="2307"/>
                              </w:tabs>
                              <w:spacing w:before="62" w:line="255" w:lineRule="auto"/>
                              <w:ind w:right="317"/>
                              <w:rPr>
                                <w:rFonts w:ascii="Calibri" w:eastAsia="Calibri" w:hAnsi="Calibri" w:cs="Calibri"/>
                                <w:b/>
                                <w:bCs/>
                                <w:color w:val="000000"/>
                                <w:sz w:val="20"/>
                                <w:szCs w:val="20"/>
                              </w:rPr>
                            </w:pPr>
                          </w:p>
                          <w:p w14:paraId="01167253" w14:textId="77777777" w:rsidR="00062D14" w:rsidRPr="00BA77F3" w:rsidRDefault="00062D14" w:rsidP="00BA77F3">
                            <w:pPr>
                              <w:tabs>
                                <w:tab w:val="left" w:pos="2307"/>
                              </w:tabs>
                              <w:spacing w:before="62" w:line="255" w:lineRule="auto"/>
                              <w:ind w:right="317"/>
                              <w:rPr>
                                <w:rFonts w:ascii="Calibri" w:eastAsia="Calibri" w:hAnsi="Calibri" w:cs="Calibri"/>
                                <w:color w:val="000000"/>
                                <w:sz w:val="20"/>
                                <w:szCs w:val="20"/>
                              </w:rPr>
                            </w:pPr>
                            <w:r w:rsidRPr="00BA77F3">
                              <w:rPr>
                                <w:rFonts w:ascii="Calibri" w:eastAsia="Calibri" w:hAnsi="Calibri" w:cs="Calibri"/>
                                <w:b/>
                                <w:bCs/>
                                <w:color w:val="000000"/>
                                <w:sz w:val="20"/>
                                <w:szCs w:val="20"/>
                              </w:rPr>
                              <w:t>Janus Henderson</w:t>
                            </w:r>
                            <w:r w:rsidRPr="00BA77F3">
                              <w:rPr>
                                <w:rFonts w:ascii="Calibri" w:eastAsia="Calibri" w:hAnsi="Calibri" w:cs="Calibri"/>
                                <w:b/>
                                <w:bCs/>
                                <w:color w:val="000000"/>
                                <w:sz w:val="20"/>
                                <w:szCs w:val="20"/>
                              </w:rPr>
                              <w:tab/>
                            </w:r>
                            <w:r w:rsidRPr="00BA77F3">
                              <w:rPr>
                                <w:rFonts w:ascii="Calibri" w:eastAsia="Calibri" w:hAnsi="Calibri" w:cs="Calibri"/>
                                <w:color w:val="000000"/>
                                <w:sz w:val="20"/>
                                <w:szCs w:val="20"/>
                              </w:rPr>
                              <w:t xml:space="preserve">9.98%      </w:t>
                            </w:r>
                          </w:p>
                          <w:p w14:paraId="552C9D4A" w14:textId="77777777" w:rsidR="00062D14" w:rsidRDefault="00062D14" w:rsidP="00BA77F3">
                            <w:pPr>
                              <w:tabs>
                                <w:tab w:val="left" w:pos="2307"/>
                              </w:tabs>
                              <w:spacing w:before="62" w:line="255" w:lineRule="auto"/>
                              <w:ind w:right="317"/>
                              <w:rPr>
                                <w:rFonts w:ascii="Calibri" w:eastAsia="Calibri" w:hAnsi="Calibri" w:cs="Calibri"/>
                                <w:b/>
                                <w:bCs/>
                                <w:color w:val="000000"/>
                                <w:sz w:val="20"/>
                                <w:szCs w:val="20"/>
                              </w:rPr>
                            </w:pPr>
                          </w:p>
                          <w:p w14:paraId="2B9AF022" w14:textId="77777777" w:rsidR="00062D14" w:rsidRPr="00BA77F3" w:rsidRDefault="00062D14" w:rsidP="00BA77F3">
                            <w:pPr>
                              <w:tabs>
                                <w:tab w:val="left" w:pos="2307"/>
                              </w:tabs>
                              <w:spacing w:before="62" w:line="255" w:lineRule="auto"/>
                              <w:ind w:right="317"/>
                              <w:rPr>
                                <w:rFonts w:ascii="Calibri" w:eastAsia="Calibri" w:hAnsi="Calibri" w:cs="Calibri"/>
                                <w:b/>
                                <w:bCs/>
                                <w:color w:val="000000"/>
                                <w:sz w:val="20"/>
                                <w:szCs w:val="20"/>
                              </w:rPr>
                            </w:pPr>
                            <w:r w:rsidRPr="00BA77F3">
                              <w:rPr>
                                <w:rFonts w:ascii="Calibri" w:eastAsia="Calibri" w:hAnsi="Calibri" w:cs="Calibri"/>
                                <w:b/>
                                <w:bCs/>
                                <w:color w:val="000000"/>
                                <w:sz w:val="20"/>
                                <w:szCs w:val="20"/>
                              </w:rPr>
                              <w:t>Sir John Beckwith</w:t>
                            </w:r>
                            <w:r w:rsidRPr="00BA77F3">
                              <w:rPr>
                                <w:rFonts w:ascii="Calibri" w:eastAsia="Calibri" w:hAnsi="Calibri" w:cs="Calibri"/>
                                <w:b/>
                                <w:bCs/>
                                <w:color w:val="000000"/>
                                <w:sz w:val="20"/>
                                <w:szCs w:val="20"/>
                              </w:rPr>
                              <w:tab/>
                            </w:r>
                            <w:r w:rsidRPr="00BA77F3">
                              <w:rPr>
                                <w:rFonts w:ascii="Calibri" w:eastAsia="Calibri" w:hAnsi="Calibri" w:cs="Calibri"/>
                                <w:color w:val="000000"/>
                                <w:sz w:val="20"/>
                                <w:szCs w:val="20"/>
                              </w:rPr>
                              <w:t>8.00%</w:t>
                            </w:r>
                            <w:r w:rsidRPr="00BA77F3">
                              <w:rPr>
                                <w:rFonts w:ascii="Calibri" w:eastAsia="Calibri" w:hAnsi="Calibri" w:cs="Calibri"/>
                                <w:b/>
                                <w:bCs/>
                                <w:color w:val="000000"/>
                                <w:sz w:val="20"/>
                                <w:szCs w:val="20"/>
                              </w:rPr>
                              <w:t xml:space="preserve"> </w:t>
                            </w:r>
                          </w:p>
                          <w:p w14:paraId="71FB1BE5" w14:textId="77777777" w:rsidR="00062D14" w:rsidRDefault="00062D14" w:rsidP="00BA77F3">
                            <w:pPr>
                              <w:tabs>
                                <w:tab w:val="left" w:pos="2307"/>
                              </w:tabs>
                              <w:spacing w:before="62" w:line="255" w:lineRule="auto"/>
                              <w:ind w:right="317"/>
                              <w:rPr>
                                <w:rFonts w:ascii="Calibri" w:eastAsia="Calibri" w:hAnsi="Calibri" w:cs="Calibri"/>
                                <w:b/>
                                <w:bCs/>
                                <w:color w:val="000000"/>
                                <w:sz w:val="20"/>
                                <w:szCs w:val="20"/>
                              </w:rPr>
                            </w:pPr>
                          </w:p>
                          <w:p w14:paraId="496A0E56" w14:textId="77777777" w:rsidR="00062D14" w:rsidRPr="00BA77F3" w:rsidRDefault="00062D14" w:rsidP="00BA77F3">
                            <w:pPr>
                              <w:tabs>
                                <w:tab w:val="left" w:pos="2307"/>
                              </w:tabs>
                              <w:spacing w:before="62" w:line="255" w:lineRule="auto"/>
                              <w:ind w:right="317"/>
                              <w:rPr>
                                <w:rFonts w:ascii="Calibri" w:eastAsia="Calibri" w:hAnsi="Calibri" w:cs="Calibri"/>
                                <w:color w:val="000000"/>
                                <w:sz w:val="20"/>
                                <w:szCs w:val="20"/>
                              </w:rPr>
                            </w:pPr>
                            <w:r w:rsidRPr="00BA77F3">
                              <w:rPr>
                                <w:rFonts w:ascii="Calibri" w:eastAsia="Calibri" w:hAnsi="Calibri" w:cs="Calibri"/>
                                <w:b/>
                                <w:bCs/>
                                <w:color w:val="000000"/>
                                <w:sz w:val="20"/>
                                <w:szCs w:val="20"/>
                              </w:rPr>
                              <w:t>Premier Fund Managers</w:t>
                            </w:r>
                            <w:r w:rsidRPr="00BA77F3">
                              <w:rPr>
                                <w:rFonts w:ascii="Calibri" w:eastAsia="Calibri" w:hAnsi="Calibri" w:cs="Calibri"/>
                                <w:b/>
                                <w:bCs/>
                                <w:color w:val="000000"/>
                                <w:sz w:val="20"/>
                                <w:szCs w:val="20"/>
                              </w:rPr>
                              <w:tab/>
                            </w:r>
                            <w:r w:rsidRPr="00BA77F3">
                              <w:rPr>
                                <w:rFonts w:ascii="Calibri" w:eastAsia="Calibri" w:hAnsi="Calibri" w:cs="Calibri"/>
                                <w:color w:val="000000"/>
                                <w:sz w:val="20"/>
                                <w:szCs w:val="20"/>
                              </w:rPr>
                              <w:t xml:space="preserve">5.01%  </w:t>
                            </w:r>
                          </w:p>
                          <w:p w14:paraId="04B4D3AF" w14:textId="77777777" w:rsidR="00062D14" w:rsidRDefault="00062D14" w:rsidP="00BA77F3">
                            <w:pPr>
                              <w:tabs>
                                <w:tab w:val="left" w:pos="2307"/>
                              </w:tabs>
                              <w:spacing w:before="62" w:line="255" w:lineRule="auto"/>
                              <w:ind w:right="317"/>
                              <w:rPr>
                                <w:rFonts w:ascii="Calibri" w:eastAsia="Calibri" w:hAnsi="Calibri" w:cs="Calibri"/>
                                <w:b/>
                                <w:bCs/>
                                <w:color w:val="000000"/>
                                <w:sz w:val="20"/>
                                <w:szCs w:val="20"/>
                              </w:rPr>
                            </w:pPr>
                          </w:p>
                          <w:p w14:paraId="28299D45" w14:textId="77777777" w:rsidR="00062D14" w:rsidRPr="00BA77F3" w:rsidRDefault="00062D14" w:rsidP="00BA77F3">
                            <w:pPr>
                              <w:tabs>
                                <w:tab w:val="left" w:pos="2307"/>
                              </w:tabs>
                              <w:spacing w:before="62" w:line="255" w:lineRule="auto"/>
                              <w:ind w:right="317"/>
                              <w:rPr>
                                <w:rFonts w:ascii="Calibri" w:eastAsia="Calibri" w:hAnsi="Calibri" w:cs="Calibri"/>
                                <w:color w:val="000000"/>
                                <w:sz w:val="20"/>
                                <w:szCs w:val="20"/>
                              </w:rPr>
                            </w:pPr>
                            <w:r w:rsidRPr="00BA77F3">
                              <w:rPr>
                                <w:rFonts w:ascii="Calibri" w:eastAsia="Calibri" w:hAnsi="Calibri" w:cs="Calibri"/>
                                <w:b/>
                                <w:bCs/>
                                <w:color w:val="000000"/>
                                <w:sz w:val="20"/>
                                <w:szCs w:val="20"/>
                              </w:rPr>
                              <w:t>Man Group</w:t>
                            </w:r>
                            <w:r w:rsidRPr="00BA77F3">
                              <w:rPr>
                                <w:rFonts w:ascii="Calibri" w:eastAsia="Calibri" w:hAnsi="Calibri" w:cs="Calibri"/>
                                <w:b/>
                                <w:bCs/>
                                <w:color w:val="000000"/>
                                <w:sz w:val="20"/>
                                <w:szCs w:val="20"/>
                              </w:rPr>
                              <w:tab/>
                            </w:r>
                            <w:r w:rsidRPr="00BA77F3">
                              <w:rPr>
                                <w:rFonts w:ascii="Calibri" w:eastAsia="Calibri" w:hAnsi="Calibri" w:cs="Calibri"/>
                                <w:color w:val="000000"/>
                                <w:sz w:val="20"/>
                                <w:szCs w:val="20"/>
                              </w:rPr>
                              <w:t xml:space="preserve">4.63% </w:t>
                            </w:r>
                          </w:p>
                          <w:p w14:paraId="5F83187C" w14:textId="77777777" w:rsidR="00062D14" w:rsidRDefault="00062D14" w:rsidP="00BA77F3">
                            <w:pPr>
                              <w:tabs>
                                <w:tab w:val="left" w:pos="2307"/>
                              </w:tabs>
                              <w:spacing w:before="62" w:line="255" w:lineRule="auto"/>
                              <w:ind w:right="317"/>
                              <w:rPr>
                                <w:rFonts w:ascii="Calibri" w:eastAsia="Calibri" w:hAnsi="Calibri" w:cs="Calibri"/>
                                <w:b/>
                                <w:bCs/>
                                <w:color w:val="000000"/>
                                <w:sz w:val="20"/>
                                <w:szCs w:val="20"/>
                              </w:rPr>
                            </w:pPr>
                          </w:p>
                          <w:p w14:paraId="434F44A2" w14:textId="77777777" w:rsidR="00062D14" w:rsidRDefault="00062D14" w:rsidP="00BA77F3">
                            <w:pPr>
                              <w:tabs>
                                <w:tab w:val="left" w:pos="2307"/>
                              </w:tabs>
                              <w:spacing w:before="62" w:line="255" w:lineRule="auto"/>
                              <w:ind w:right="317"/>
                              <w:rPr>
                                <w:rFonts w:ascii="Calibri" w:eastAsia="Calibri" w:hAnsi="Calibri" w:cs="Calibri"/>
                                <w:color w:val="000000"/>
                                <w:sz w:val="20"/>
                                <w:szCs w:val="20"/>
                              </w:rPr>
                            </w:pPr>
                            <w:r w:rsidRPr="00BA77F3">
                              <w:rPr>
                                <w:rFonts w:ascii="Calibri" w:eastAsia="Calibri" w:hAnsi="Calibri" w:cs="Calibri"/>
                                <w:b/>
                                <w:bCs/>
                                <w:color w:val="000000"/>
                                <w:sz w:val="20"/>
                                <w:szCs w:val="20"/>
                              </w:rPr>
                              <w:t>Blankstone Sington</w:t>
                            </w:r>
                            <w:r>
                              <w:rPr>
                                <w:rFonts w:ascii="Calibri" w:eastAsia="Calibri" w:hAnsi="Calibri" w:cs="Calibri"/>
                                <w:b/>
                                <w:bCs/>
                                <w:color w:val="000000"/>
                                <w:sz w:val="20"/>
                                <w:szCs w:val="20"/>
                              </w:rPr>
                              <w:tab/>
                            </w:r>
                            <w:r w:rsidRPr="00BA77F3">
                              <w:rPr>
                                <w:rFonts w:ascii="Calibri" w:eastAsia="Calibri" w:hAnsi="Calibri" w:cs="Calibri"/>
                                <w:color w:val="000000"/>
                                <w:sz w:val="20"/>
                                <w:szCs w:val="20"/>
                              </w:rPr>
                              <w:t xml:space="preserve">4.21% </w:t>
                            </w:r>
                          </w:p>
                          <w:p w14:paraId="5308D0CB" w14:textId="77777777" w:rsidR="00062D14" w:rsidRDefault="00062D14" w:rsidP="00BA77F3">
                            <w:pPr>
                              <w:tabs>
                                <w:tab w:val="left" w:pos="2307"/>
                              </w:tabs>
                              <w:spacing w:before="62" w:line="255" w:lineRule="auto"/>
                              <w:ind w:right="317"/>
                              <w:rPr>
                                <w:rFonts w:ascii="Calibri" w:eastAsia="Calibri" w:hAnsi="Calibri" w:cs="Calibri"/>
                                <w:color w:val="000000"/>
                                <w:sz w:val="20"/>
                                <w:szCs w:val="20"/>
                              </w:rPr>
                            </w:pPr>
                          </w:p>
                          <w:p w14:paraId="143EE2B3" w14:textId="77777777" w:rsidR="00062D14" w:rsidRPr="00593D5B" w:rsidRDefault="00062D14" w:rsidP="00BA77F3">
                            <w:pPr>
                              <w:tabs>
                                <w:tab w:val="left" w:pos="2307"/>
                              </w:tabs>
                              <w:spacing w:before="62" w:line="255" w:lineRule="auto"/>
                              <w:ind w:right="317"/>
                              <w:rPr>
                                <w:rFonts w:ascii="Calibri" w:eastAsia="Calibri" w:hAnsi="Calibri" w:cs="Calibri"/>
                                <w:b/>
                                <w:bCs/>
                                <w:color w:val="000000"/>
                                <w:sz w:val="20"/>
                                <w:szCs w:val="20"/>
                              </w:rPr>
                            </w:pPr>
                            <w:r>
                              <w:rPr>
                                <w:rFonts w:ascii="Calibri" w:eastAsia="Calibri" w:hAnsi="Calibri" w:cs="Calibri"/>
                                <w:b/>
                                <w:bCs/>
                                <w:color w:val="000000"/>
                                <w:sz w:val="20"/>
                                <w:szCs w:val="20"/>
                              </w:rPr>
                              <w:t>Management</w:t>
                            </w:r>
                            <w:r>
                              <w:rPr>
                                <w:rFonts w:ascii="Calibri" w:eastAsia="Calibri" w:hAnsi="Calibri" w:cs="Calibri"/>
                                <w:b/>
                                <w:bCs/>
                                <w:color w:val="000000"/>
                                <w:sz w:val="20"/>
                                <w:szCs w:val="20"/>
                              </w:rPr>
                              <w:tab/>
                            </w:r>
                            <w:r>
                              <w:rPr>
                                <w:rFonts w:ascii="Calibri" w:eastAsia="Calibri" w:hAnsi="Calibri" w:cs="Calibri"/>
                                <w:color w:val="000000"/>
                                <w:sz w:val="20"/>
                                <w:szCs w:val="20"/>
                              </w:rPr>
                              <w:t>1.05%</w:t>
                            </w:r>
                            <w:r>
                              <w:rPr>
                                <w:rFonts w:ascii="Calibri" w:eastAsia="Calibri" w:hAnsi="Calibri" w:cs="Calibri"/>
                                <w:b/>
                                <w:bCs/>
                                <w:color w:val="000000"/>
                                <w:sz w:val="20"/>
                                <w:szCs w:val="20"/>
                              </w:rPr>
                              <w:t xml:space="preserve"> </w:t>
                            </w:r>
                            <w:r>
                              <w:rPr>
                                <w:rFonts w:ascii="Calibri" w:eastAsia="Calibri" w:hAnsi="Calibri" w:cs="Calibri"/>
                                <w:b/>
                                <w:bCs/>
                                <w:color w:val="000000"/>
                                <w:sz w:val="20"/>
                                <w:szCs w:val="20"/>
                              </w:rPr>
                              <w:tab/>
                            </w:r>
                          </w:p>
                          <w:p w14:paraId="4B8BB688" w14:textId="77777777" w:rsidR="00062D14" w:rsidRPr="00BA77F3" w:rsidRDefault="00062D14">
                            <w:pPr>
                              <w:rPr>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C8C4AE" id="Text Box 62" o:spid="_x0000_s1027" type="#_x0000_t202" style="position:absolute;margin-left:316.8pt;margin-top:55.85pt;width:208.65pt;height:267.3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" fillcolor="white [3201]" stroked="f" strokeweight=".5pt">
                <v:textbox>
                  <w:txbxContent>
                    <w:p w14:paraId="19B16F78" w14:textId="77777777" w:rsidR="00062D14" w:rsidRPr="00BA77F3" w:rsidRDefault="00062D14" w:rsidP="00BA77F3">
                      <w:pPr>
                        <w:tabs>
                          <w:tab w:val="left" w:pos="2307"/>
                        </w:tabs>
                        <w:spacing w:before="62" w:line="255" w:lineRule="auto"/>
                        <w:ind w:right="317"/>
                        <w:rPr>
                          <w:rFonts w:ascii="Calibri" w:eastAsia="Calibri" w:hAnsi="Calibri" w:cs="Calibri"/>
                          <w:color w:val="000000"/>
                          <w:sz w:val="20"/>
                          <w:szCs w:val="20"/>
                        </w:rPr>
                      </w:pPr>
                      <w:r w:rsidRPr="00BA77F3">
                        <w:rPr>
                          <w:rFonts w:ascii="Calibri" w:eastAsia="Calibri" w:hAnsi="Calibri" w:cs="Calibri"/>
                          <w:b/>
                          <w:bCs/>
                          <w:color w:val="000000"/>
                          <w:sz w:val="20"/>
                          <w:szCs w:val="20"/>
                        </w:rPr>
                        <w:t>Rathbone</w:t>
                      </w:r>
                      <w:r w:rsidRPr="00BA77F3">
                        <w:rPr>
                          <w:rFonts w:ascii="Calibri" w:eastAsia="Calibri" w:hAnsi="Calibri" w:cs="Calibri"/>
                          <w:b/>
                          <w:bCs/>
                          <w:color w:val="000000"/>
                          <w:sz w:val="20"/>
                          <w:szCs w:val="20"/>
                        </w:rPr>
                        <w:tab/>
                      </w:r>
                      <w:r w:rsidRPr="00BA77F3">
                        <w:rPr>
                          <w:rFonts w:ascii="Calibri" w:eastAsia="Calibri" w:hAnsi="Calibri" w:cs="Calibri"/>
                          <w:color w:val="000000"/>
                          <w:sz w:val="20"/>
                          <w:szCs w:val="20"/>
                        </w:rPr>
                        <w:t xml:space="preserve">10.48% </w:t>
                      </w:r>
                    </w:p>
                    <w:p w14:paraId="470E06A4" w14:textId="77777777" w:rsidR="00062D14" w:rsidRDefault="00062D14" w:rsidP="00BA77F3">
                      <w:pPr>
                        <w:tabs>
                          <w:tab w:val="left" w:pos="2307"/>
                        </w:tabs>
                        <w:spacing w:before="62" w:line="255" w:lineRule="auto"/>
                        <w:ind w:right="317"/>
                        <w:rPr>
                          <w:rFonts w:ascii="Calibri" w:eastAsia="Calibri" w:hAnsi="Calibri" w:cs="Calibri"/>
                          <w:b/>
                          <w:bCs/>
                          <w:color w:val="000000"/>
                          <w:sz w:val="20"/>
                          <w:szCs w:val="20"/>
                        </w:rPr>
                      </w:pPr>
                    </w:p>
                    <w:p w14:paraId="00219654" w14:textId="77777777" w:rsidR="00062D14" w:rsidRPr="00BA77F3" w:rsidRDefault="00062D14" w:rsidP="00BA77F3">
                      <w:pPr>
                        <w:tabs>
                          <w:tab w:val="left" w:pos="2307"/>
                        </w:tabs>
                        <w:spacing w:before="62" w:line="255" w:lineRule="auto"/>
                        <w:ind w:right="317"/>
                        <w:rPr>
                          <w:rFonts w:ascii="Calibri" w:eastAsia="Calibri" w:hAnsi="Calibri" w:cs="Calibri"/>
                          <w:color w:val="000000"/>
                          <w:sz w:val="20"/>
                          <w:szCs w:val="20"/>
                        </w:rPr>
                      </w:pPr>
                      <w:r w:rsidRPr="00BA77F3">
                        <w:rPr>
                          <w:rFonts w:ascii="Calibri" w:eastAsia="Calibri" w:hAnsi="Calibri" w:cs="Calibri"/>
                          <w:b/>
                          <w:bCs/>
                          <w:color w:val="000000"/>
                          <w:sz w:val="20"/>
                          <w:szCs w:val="20"/>
                        </w:rPr>
                        <w:t>Allianz</w:t>
                      </w:r>
                      <w:r w:rsidRPr="00BA77F3">
                        <w:rPr>
                          <w:rFonts w:ascii="Calibri" w:eastAsia="Calibri" w:hAnsi="Calibri" w:cs="Calibri"/>
                          <w:b/>
                          <w:bCs/>
                          <w:color w:val="000000"/>
                          <w:sz w:val="20"/>
                          <w:szCs w:val="20"/>
                        </w:rPr>
                        <w:tab/>
                      </w:r>
                      <w:r w:rsidRPr="00BA77F3">
                        <w:rPr>
                          <w:rFonts w:ascii="Calibri" w:eastAsia="Calibri" w:hAnsi="Calibri" w:cs="Calibri"/>
                          <w:color w:val="000000"/>
                          <w:sz w:val="20"/>
                          <w:szCs w:val="20"/>
                        </w:rPr>
                        <w:t xml:space="preserve">10.31% </w:t>
                      </w:r>
                    </w:p>
                    <w:p w14:paraId="2390B257" w14:textId="77777777" w:rsidR="00062D14" w:rsidRDefault="00062D14" w:rsidP="00BA77F3">
                      <w:pPr>
                        <w:tabs>
                          <w:tab w:val="left" w:pos="2307"/>
                        </w:tabs>
                        <w:spacing w:before="62" w:line="255" w:lineRule="auto"/>
                        <w:ind w:right="317"/>
                        <w:rPr>
                          <w:rFonts w:ascii="Calibri" w:eastAsia="Calibri" w:hAnsi="Calibri" w:cs="Calibri"/>
                          <w:b/>
                          <w:bCs/>
                          <w:color w:val="000000"/>
                          <w:sz w:val="20"/>
                          <w:szCs w:val="20"/>
                        </w:rPr>
                      </w:pPr>
                    </w:p>
                    <w:p w14:paraId="01167253" w14:textId="77777777" w:rsidR="00062D14" w:rsidRPr="00BA77F3" w:rsidRDefault="00062D14" w:rsidP="00BA77F3">
                      <w:pPr>
                        <w:tabs>
                          <w:tab w:val="left" w:pos="2307"/>
                        </w:tabs>
                        <w:spacing w:before="62" w:line="255" w:lineRule="auto"/>
                        <w:ind w:right="317"/>
                        <w:rPr>
                          <w:rFonts w:ascii="Calibri" w:eastAsia="Calibri" w:hAnsi="Calibri" w:cs="Calibri"/>
                          <w:color w:val="000000"/>
                          <w:sz w:val="20"/>
                          <w:szCs w:val="20"/>
                        </w:rPr>
                      </w:pPr>
                      <w:r w:rsidRPr="00BA77F3">
                        <w:rPr>
                          <w:rFonts w:ascii="Calibri" w:eastAsia="Calibri" w:hAnsi="Calibri" w:cs="Calibri"/>
                          <w:b/>
                          <w:bCs/>
                          <w:color w:val="000000"/>
                          <w:sz w:val="20"/>
                          <w:szCs w:val="20"/>
                        </w:rPr>
                        <w:t>Janus Henderson</w:t>
                      </w:r>
                      <w:r w:rsidRPr="00BA77F3">
                        <w:rPr>
                          <w:rFonts w:ascii="Calibri" w:eastAsia="Calibri" w:hAnsi="Calibri" w:cs="Calibri"/>
                          <w:b/>
                          <w:bCs/>
                          <w:color w:val="000000"/>
                          <w:sz w:val="20"/>
                          <w:szCs w:val="20"/>
                        </w:rPr>
                        <w:tab/>
                      </w:r>
                      <w:r w:rsidRPr="00BA77F3">
                        <w:rPr>
                          <w:rFonts w:ascii="Calibri" w:eastAsia="Calibri" w:hAnsi="Calibri" w:cs="Calibri"/>
                          <w:color w:val="000000"/>
                          <w:sz w:val="20"/>
                          <w:szCs w:val="20"/>
                        </w:rPr>
                        <w:t xml:space="preserve">9.98%      </w:t>
                      </w:r>
                    </w:p>
                    <w:p w14:paraId="552C9D4A" w14:textId="77777777" w:rsidR="00062D14" w:rsidRDefault="00062D14" w:rsidP="00BA77F3">
                      <w:pPr>
                        <w:tabs>
                          <w:tab w:val="left" w:pos="2307"/>
                        </w:tabs>
                        <w:spacing w:before="62" w:line="255" w:lineRule="auto"/>
                        <w:ind w:right="317"/>
                        <w:rPr>
                          <w:rFonts w:ascii="Calibri" w:eastAsia="Calibri" w:hAnsi="Calibri" w:cs="Calibri"/>
                          <w:b/>
                          <w:bCs/>
                          <w:color w:val="000000"/>
                          <w:sz w:val="20"/>
                          <w:szCs w:val="20"/>
                        </w:rPr>
                      </w:pPr>
                    </w:p>
                    <w:p w14:paraId="2B9AF022" w14:textId="77777777" w:rsidR="00062D14" w:rsidRPr="00BA77F3" w:rsidRDefault="00062D14" w:rsidP="00BA77F3">
                      <w:pPr>
                        <w:tabs>
                          <w:tab w:val="left" w:pos="2307"/>
                        </w:tabs>
                        <w:spacing w:before="62" w:line="255" w:lineRule="auto"/>
                        <w:ind w:right="317"/>
                        <w:rPr>
                          <w:rFonts w:ascii="Calibri" w:eastAsia="Calibri" w:hAnsi="Calibri" w:cs="Calibri"/>
                          <w:b/>
                          <w:bCs/>
                          <w:color w:val="000000"/>
                          <w:sz w:val="20"/>
                          <w:szCs w:val="20"/>
                        </w:rPr>
                      </w:pPr>
                      <w:r w:rsidRPr="00BA77F3">
                        <w:rPr>
                          <w:rFonts w:ascii="Calibri" w:eastAsia="Calibri" w:hAnsi="Calibri" w:cs="Calibri"/>
                          <w:b/>
                          <w:bCs/>
                          <w:color w:val="000000"/>
                          <w:sz w:val="20"/>
                          <w:szCs w:val="20"/>
                        </w:rPr>
                        <w:t>Sir John Beckwith</w:t>
                      </w:r>
                      <w:r w:rsidRPr="00BA77F3">
                        <w:rPr>
                          <w:rFonts w:ascii="Calibri" w:eastAsia="Calibri" w:hAnsi="Calibri" w:cs="Calibri"/>
                          <w:b/>
                          <w:bCs/>
                          <w:color w:val="000000"/>
                          <w:sz w:val="20"/>
                          <w:szCs w:val="20"/>
                        </w:rPr>
                        <w:tab/>
                      </w:r>
                      <w:r w:rsidRPr="00BA77F3">
                        <w:rPr>
                          <w:rFonts w:ascii="Calibri" w:eastAsia="Calibri" w:hAnsi="Calibri" w:cs="Calibri"/>
                          <w:color w:val="000000"/>
                          <w:sz w:val="20"/>
                          <w:szCs w:val="20"/>
                        </w:rPr>
                        <w:t>8.00%</w:t>
                      </w:r>
                      <w:r w:rsidRPr="00BA77F3">
                        <w:rPr>
                          <w:rFonts w:ascii="Calibri" w:eastAsia="Calibri" w:hAnsi="Calibri" w:cs="Calibri"/>
                          <w:b/>
                          <w:bCs/>
                          <w:color w:val="000000"/>
                          <w:sz w:val="20"/>
                          <w:szCs w:val="20"/>
                        </w:rPr>
                        <w:t xml:space="preserve"> </w:t>
                      </w:r>
                    </w:p>
                    <w:p w14:paraId="71FB1BE5" w14:textId="77777777" w:rsidR="00062D14" w:rsidRDefault="00062D14" w:rsidP="00BA77F3">
                      <w:pPr>
                        <w:tabs>
                          <w:tab w:val="left" w:pos="2307"/>
                        </w:tabs>
                        <w:spacing w:before="62" w:line="255" w:lineRule="auto"/>
                        <w:ind w:right="317"/>
                        <w:rPr>
                          <w:rFonts w:ascii="Calibri" w:eastAsia="Calibri" w:hAnsi="Calibri" w:cs="Calibri"/>
                          <w:b/>
                          <w:bCs/>
                          <w:color w:val="000000"/>
                          <w:sz w:val="20"/>
                          <w:szCs w:val="20"/>
                        </w:rPr>
                      </w:pPr>
                    </w:p>
                    <w:p w14:paraId="496A0E56" w14:textId="77777777" w:rsidR="00062D14" w:rsidRPr="00BA77F3" w:rsidRDefault="00062D14" w:rsidP="00BA77F3">
                      <w:pPr>
                        <w:tabs>
                          <w:tab w:val="left" w:pos="2307"/>
                        </w:tabs>
                        <w:spacing w:before="62" w:line="255" w:lineRule="auto"/>
                        <w:ind w:right="317"/>
                        <w:rPr>
                          <w:rFonts w:ascii="Calibri" w:eastAsia="Calibri" w:hAnsi="Calibri" w:cs="Calibri"/>
                          <w:color w:val="000000"/>
                          <w:sz w:val="20"/>
                          <w:szCs w:val="20"/>
                        </w:rPr>
                      </w:pPr>
                      <w:r w:rsidRPr="00BA77F3">
                        <w:rPr>
                          <w:rFonts w:ascii="Calibri" w:eastAsia="Calibri" w:hAnsi="Calibri" w:cs="Calibri"/>
                          <w:b/>
                          <w:bCs/>
                          <w:color w:val="000000"/>
                          <w:sz w:val="20"/>
                          <w:szCs w:val="20"/>
                        </w:rPr>
                        <w:t>Premier Fund Managers</w:t>
                      </w:r>
                      <w:r w:rsidRPr="00BA77F3">
                        <w:rPr>
                          <w:rFonts w:ascii="Calibri" w:eastAsia="Calibri" w:hAnsi="Calibri" w:cs="Calibri"/>
                          <w:b/>
                          <w:bCs/>
                          <w:color w:val="000000"/>
                          <w:sz w:val="20"/>
                          <w:szCs w:val="20"/>
                        </w:rPr>
                        <w:tab/>
                      </w:r>
                      <w:r w:rsidRPr="00BA77F3">
                        <w:rPr>
                          <w:rFonts w:ascii="Calibri" w:eastAsia="Calibri" w:hAnsi="Calibri" w:cs="Calibri"/>
                          <w:color w:val="000000"/>
                          <w:sz w:val="20"/>
                          <w:szCs w:val="20"/>
                        </w:rPr>
                        <w:t xml:space="preserve">5.01%  </w:t>
                      </w:r>
                    </w:p>
                    <w:p w14:paraId="04B4D3AF" w14:textId="77777777" w:rsidR="00062D14" w:rsidRDefault="00062D14" w:rsidP="00BA77F3">
                      <w:pPr>
                        <w:tabs>
                          <w:tab w:val="left" w:pos="2307"/>
                        </w:tabs>
                        <w:spacing w:before="62" w:line="255" w:lineRule="auto"/>
                        <w:ind w:right="317"/>
                        <w:rPr>
                          <w:rFonts w:ascii="Calibri" w:eastAsia="Calibri" w:hAnsi="Calibri" w:cs="Calibri"/>
                          <w:b/>
                          <w:bCs/>
                          <w:color w:val="000000"/>
                          <w:sz w:val="20"/>
                          <w:szCs w:val="20"/>
                        </w:rPr>
                      </w:pPr>
                    </w:p>
                    <w:p w14:paraId="28299D45" w14:textId="77777777" w:rsidR="00062D14" w:rsidRPr="00BA77F3" w:rsidRDefault="00062D14" w:rsidP="00BA77F3">
                      <w:pPr>
                        <w:tabs>
                          <w:tab w:val="left" w:pos="2307"/>
                        </w:tabs>
                        <w:spacing w:before="62" w:line="255" w:lineRule="auto"/>
                        <w:ind w:right="317"/>
                        <w:rPr>
                          <w:rFonts w:ascii="Calibri" w:eastAsia="Calibri" w:hAnsi="Calibri" w:cs="Calibri"/>
                          <w:color w:val="000000"/>
                          <w:sz w:val="20"/>
                          <w:szCs w:val="20"/>
                        </w:rPr>
                      </w:pPr>
                      <w:r w:rsidRPr="00BA77F3">
                        <w:rPr>
                          <w:rFonts w:ascii="Calibri" w:eastAsia="Calibri" w:hAnsi="Calibri" w:cs="Calibri"/>
                          <w:b/>
                          <w:bCs/>
                          <w:color w:val="000000"/>
                          <w:sz w:val="20"/>
                          <w:szCs w:val="20"/>
                        </w:rPr>
                        <w:t>Man Group</w:t>
                      </w:r>
                      <w:r w:rsidRPr="00BA77F3">
                        <w:rPr>
                          <w:rFonts w:ascii="Calibri" w:eastAsia="Calibri" w:hAnsi="Calibri" w:cs="Calibri"/>
                          <w:b/>
                          <w:bCs/>
                          <w:color w:val="000000"/>
                          <w:sz w:val="20"/>
                          <w:szCs w:val="20"/>
                        </w:rPr>
                        <w:tab/>
                      </w:r>
                      <w:r w:rsidRPr="00BA77F3">
                        <w:rPr>
                          <w:rFonts w:ascii="Calibri" w:eastAsia="Calibri" w:hAnsi="Calibri" w:cs="Calibri"/>
                          <w:color w:val="000000"/>
                          <w:sz w:val="20"/>
                          <w:szCs w:val="20"/>
                        </w:rPr>
                        <w:t xml:space="preserve">4.63% </w:t>
                      </w:r>
                    </w:p>
                    <w:p w14:paraId="5F83187C" w14:textId="77777777" w:rsidR="00062D14" w:rsidRDefault="00062D14" w:rsidP="00BA77F3">
                      <w:pPr>
                        <w:tabs>
                          <w:tab w:val="left" w:pos="2307"/>
                        </w:tabs>
                        <w:spacing w:before="62" w:line="255" w:lineRule="auto"/>
                        <w:ind w:right="317"/>
                        <w:rPr>
                          <w:rFonts w:ascii="Calibri" w:eastAsia="Calibri" w:hAnsi="Calibri" w:cs="Calibri"/>
                          <w:b/>
                          <w:bCs/>
                          <w:color w:val="000000"/>
                          <w:sz w:val="20"/>
                          <w:szCs w:val="20"/>
                        </w:rPr>
                      </w:pPr>
                    </w:p>
                    <w:p w14:paraId="434F44A2" w14:textId="77777777" w:rsidR="00062D14" w:rsidRDefault="00062D14" w:rsidP="00BA77F3">
                      <w:pPr>
                        <w:tabs>
                          <w:tab w:val="left" w:pos="2307"/>
                        </w:tabs>
                        <w:spacing w:before="62" w:line="255" w:lineRule="auto"/>
                        <w:ind w:right="317"/>
                        <w:rPr>
                          <w:rFonts w:ascii="Calibri" w:eastAsia="Calibri" w:hAnsi="Calibri" w:cs="Calibri"/>
                          <w:color w:val="000000"/>
                          <w:sz w:val="20"/>
                          <w:szCs w:val="20"/>
                        </w:rPr>
                      </w:pPr>
                      <w:r w:rsidRPr="00BA77F3">
                        <w:rPr>
                          <w:rFonts w:ascii="Calibri" w:eastAsia="Calibri" w:hAnsi="Calibri" w:cs="Calibri"/>
                          <w:b/>
                          <w:bCs/>
                          <w:color w:val="000000"/>
                          <w:sz w:val="20"/>
                          <w:szCs w:val="20"/>
                        </w:rPr>
                        <w:t>Blankstone Sington</w:t>
                      </w:r>
                      <w:r>
                        <w:rPr>
                          <w:rFonts w:ascii="Calibri" w:eastAsia="Calibri" w:hAnsi="Calibri" w:cs="Calibri"/>
                          <w:b/>
                          <w:bCs/>
                          <w:color w:val="000000"/>
                          <w:sz w:val="20"/>
                          <w:szCs w:val="20"/>
                        </w:rPr>
                        <w:tab/>
                      </w:r>
                      <w:r w:rsidRPr="00BA77F3">
                        <w:rPr>
                          <w:rFonts w:ascii="Calibri" w:eastAsia="Calibri" w:hAnsi="Calibri" w:cs="Calibri"/>
                          <w:color w:val="000000"/>
                          <w:sz w:val="20"/>
                          <w:szCs w:val="20"/>
                        </w:rPr>
                        <w:t xml:space="preserve">4.21% </w:t>
                      </w:r>
                    </w:p>
                    <w:p w14:paraId="5308D0CB" w14:textId="77777777" w:rsidR="00062D14" w:rsidRDefault="00062D14" w:rsidP="00BA77F3">
                      <w:pPr>
                        <w:tabs>
                          <w:tab w:val="left" w:pos="2307"/>
                        </w:tabs>
                        <w:spacing w:before="62" w:line="255" w:lineRule="auto"/>
                        <w:ind w:right="317"/>
                        <w:rPr>
                          <w:rFonts w:ascii="Calibri" w:eastAsia="Calibri" w:hAnsi="Calibri" w:cs="Calibri"/>
                          <w:color w:val="000000"/>
                          <w:sz w:val="20"/>
                          <w:szCs w:val="20"/>
                        </w:rPr>
                      </w:pPr>
                    </w:p>
                    <w:p w14:paraId="143EE2B3" w14:textId="77777777" w:rsidR="00062D14" w:rsidRPr="00593D5B" w:rsidRDefault="00062D14" w:rsidP="00BA77F3">
                      <w:pPr>
                        <w:tabs>
                          <w:tab w:val="left" w:pos="2307"/>
                        </w:tabs>
                        <w:spacing w:before="62" w:line="255" w:lineRule="auto"/>
                        <w:ind w:right="317"/>
                        <w:rPr>
                          <w:rFonts w:ascii="Calibri" w:eastAsia="Calibri" w:hAnsi="Calibri" w:cs="Calibri"/>
                          <w:b/>
                          <w:bCs/>
                          <w:color w:val="000000"/>
                          <w:sz w:val="20"/>
                          <w:szCs w:val="20"/>
                        </w:rPr>
                      </w:pPr>
                      <w:r>
                        <w:rPr>
                          <w:rFonts w:ascii="Calibri" w:eastAsia="Calibri" w:hAnsi="Calibri" w:cs="Calibri"/>
                          <w:b/>
                          <w:bCs/>
                          <w:color w:val="000000"/>
                          <w:sz w:val="20"/>
                          <w:szCs w:val="20"/>
                        </w:rPr>
                        <w:t>Management</w:t>
                      </w:r>
                      <w:r>
                        <w:rPr>
                          <w:rFonts w:ascii="Calibri" w:eastAsia="Calibri" w:hAnsi="Calibri" w:cs="Calibri"/>
                          <w:b/>
                          <w:bCs/>
                          <w:color w:val="000000"/>
                          <w:sz w:val="20"/>
                          <w:szCs w:val="20"/>
                        </w:rPr>
                        <w:tab/>
                      </w:r>
                      <w:r>
                        <w:rPr>
                          <w:rFonts w:ascii="Calibri" w:eastAsia="Calibri" w:hAnsi="Calibri" w:cs="Calibri"/>
                          <w:color w:val="000000"/>
                          <w:sz w:val="20"/>
                          <w:szCs w:val="20"/>
                        </w:rPr>
                        <w:t>1.05%</w:t>
                      </w:r>
                      <w:r>
                        <w:rPr>
                          <w:rFonts w:ascii="Calibri" w:eastAsia="Calibri" w:hAnsi="Calibri" w:cs="Calibri"/>
                          <w:b/>
                          <w:bCs/>
                          <w:color w:val="000000"/>
                          <w:sz w:val="20"/>
                          <w:szCs w:val="20"/>
                        </w:rPr>
                        <w:t xml:space="preserve"> </w:t>
                      </w:r>
                      <w:r>
                        <w:rPr>
                          <w:rFonts w:ascii="Calibri" w:eastAsia="Calibri" w:hAnsi="Calibri" w:cs="Calibri"/>
                          <w:b/>
                          <w:bCs/>
                          <w:color w:val="000000"/>
                          <w:sz w:val="20"/>
                          <w:szCs w:val="20"/>
                        </w:rPr>
                        <w:tab/>
                      </w:r>
                    </w:p>
                    <w:p w14:paraId="4B8BB688" w14:textId="77777777" w:rsidR="00062D14" w:rsidRPr="00BA77F3" w:rsidRDefault="00062D14">
                      <w:pPr>
                        <w:rPr>
                          <w:sz w:val="21"/>
                          <w:szCs w:val="21"/>
                        </w:rPr>
                      </w:pPr>
                    </w:p>
                  </w:txbxContent>
                </v:textbox>
              </v:shape>
            </w:pict>
          </mc:Fallback>
        </mc:AlternateContent>
      </w:r>
      <w:r>
        <w:rPr>
          <w:noProof/>
        </w:rPr>
        <mc:AlternateContent>
          <mc:Choice Requires="wps">
            <w:drawing>
              <wp:anchor distT="0" distB="0" distL="114300" distR="114300" simplePos="0" relativeHeight="251675136" behindDoc="0" locked="0" layoutInCell="1" allowOverlap="1" wp14:anchorId="6E2221AB" wp14:editId="2E72856C">
                <wp:simplePos x="0" y="0"/>
                <wp:positionH relativeFrom="column">
                  <wp:posOffset>4377055</wp:posOffset>
                </wp:positionH>
                <wp:positionV relativeFrom="paragraph">
                  <wp:posOffset>382520</wp:posOffset>
                </wp:positionV>
                <wp:extent cx="1507067" cy="338667"/>
                <wp:effectExtent l="0" t="0" r="0" b="0"/>
                <wp:wrapNone/>
                <wp:docPr id="63" name="Text Box 63"/>
                <wp:cNvGraphicFramePr/>
                <a:graphic xmlns:a="http://schemas.openxmlformats.org/drawingml/2006/main">
                  <a:graphicData uri="http://schemas.microsoft.com/office/word/2010/wordprocessingShape">
                    <wps:wsp>
                      <wps:cNvSpPr txBox="1"/>
                      <wps:spPr>
                        <a:xfrm>
                          <a:off x="0" y="0"/>
                          <a:ext cx="1507067" cy="338667"/>
                        </a:xfrm>
                        <a:prstGeom prst="rect">
                          <a:avLst/>
                        </a:prstGeom>
                        <a:noFill/>
                        <a:ln w="6350">
                          <a:noFill/>
                        </a:ln>
                      </wps:spPr>
                      <wps:txbx>
                        <w:txbxContent>
                          <w:p w14:paraId="26116B04" w14:textId="77777777" w:rsidR="00062D14" w:rsidRPr="00BA77F3" w:rsidRDefault="00062D14">
                            <w:pPr>
                              <w:rPr>
                                <w:color w:val="FFFFFF" w:themeColor="background1"/>
                                <w:sz w:val="22"/>
                                <w:szCs w:val="22"/>
                              </w:rPr>
                            </w:pPr>
                            <w:r w:rsidRPr="00BA77F3">
                              <w:rPr>
                                <w:color w:val="FFFFFF" w:themeColor="background1"/>
                                <w:sz w:val="22"/>
                                <w:szCs w:val="22"/>
                              </w:rPr>
                              <w:t>Major Shareholders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2221AB" id="Text Box 63" o:spid="_x0000_s1028" type="#_x0000_t202" style="position:absolute;margin-left:344.65pt;margin-top:30.1pt;width:118.65pt;height:26.6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" filled="f" stroked="f" strokeweight=".5pt">
                <v:textbox>
                  <w:txbxContent>
                    <w:p w14:paraId="26116B04" w14:textId="77777777" w:rsidR="00062D14" w:rsidRPr="00BA77F3" w:rsidRDefault="00062D14">
                      <w:pPr>
                        <w:rPr>
                          <w:color w:val="FFFFFF" w:themeColor="background1"/>
                          <w:sz w:val="22"/>
                          <w:szCs w:val="22"/>
                        </w:rPr>
                      </w:pPr>
                      <w:r w:rsidRPr="00BA77F3">
                        <w:rPr>
                          <w:color w:val="FFFFFF" w:themeColor="background1"/>
                          <w:sz w:val="22"/>
                          <w:szCs w:val="22"/>
                        </w:rPr>
                        <w:t>Major Shareholders</w:t>
                      </w:r>
                    </w:p>
                  </w:txbxContent>
                </v:textbox>
              </v:shape>
            </w:pict>
          </mc:Fallback>
        </mc:AlternateContent>
      </w:r>
      <w:r>
        <w:rPr>
          <w:noProof/>
        </w:rPr>
        <mc:AlternateContent>
          <mc:Choice Requires="wps">
            <w:drawing>
              <wp:anchor distT="0" distB="0" distL="0" distR="0" simplePos="0" relativeHeight="251665920" behindDoc="1" locked="0" layoutInCell="0" allowOverlap="1" wp14:anchorId="7A755413" wp14:editId="022766ED">
                <wp:simplePos x="0" y="0"/>
                <wp:positionH relativeFrom="page">
                  <wp:posOffset>4417695</wp:posOffset>
                </wp:positionH>
                <wp:positionV relativeFrom="paragraph">
                  <wp:posOffset>417351</wp:posOffset>
                </wp:positionV>
                <wp:extent cx="2051999" cy="205649"/>
                <wp:effectExtent l="0" t="0" r="0" b="0"/>
                <wp:wrapNone/>
                <wp:docPr id="9" name="drawingObject9"/>
                <wp:cNvGraphicFramePr/>
                <a:graphic xmlns:a="http://schemas.openxmlformats.org/drawingml/2006/main">
                  <a:graphicData uri="http://schemas.microsoft.com/office/word/2010/wordprocessingShape">
                    <wps:wsp>
                      <wps:cNvSpPr/>
                      <wps:spPr>
                        <a:xfrm>
                          <a:off x="0" y="0"/>
                          <a:ext cx="2051999" cy="205649"/>
                        </a:xfrm>
                        <a:custGeom>
                          <a:avLst/>
                          <a:gdLst/>
                          <a:ahLst/>
                          <a:cxnLst/>
                          <a:rect l="0" t="0" r="0" b="0"/>
                          <a:pathLst>
                            <a:path w="2051999" h="205649">
                              <a:moveTo>
                                <a:pt x="0" y="0"/>
                              </a:moveTo>
                              <a:lnTo>
                                <a:pt x="0" y="205649"/>
                              </a:lnTo>
                              <a:lnTo>
                                <a:pt x="2051999" y="205649"/>
                              </a:lnTo>
                              <a:lnTo>
                                <a:pt x="2051999" y="0"/>
                              </a:lnTo>
                              <a:lnTo>
                                <a:pt x="0" y="0"/>
                              </a:lnTo>
                            </a:path>
                          </a:pathLst>
                        </a:custGeom>
                        <a:solidFill>
                          <a:srgbClr val="44546A"/>
                        </a:solidFill>
                      </wps:spPr>
                      <wps:bodyPr vertOverflow="overflow" horzOverflow="overflow" vert="horz" lIns="91440" tIns="45720" rIns="91440" bIns="45720" anchor="t"/>
                    </wps:wsp>
                  </a:graphicData>
                </a:graphic>
              </wp:anchor>
            </w:drawing>
          </mc:Choice>
          <mc:Fallback>
            <w:pict>
              <v:shape w14:anchorId="340FD8A8" id="drawingObject9" o:spid="_x0000_s1026" style="position:absolute;margin-left:347.85pt;margin-top:32.85pt;width:161.55pt;height:16.2pt;z-index:-251650560;visibility:visible;mso-wrap-style:square;mso-wrap-distance-left:0;mso-wrap-distance-top:0;mso-wrap-distance-right:0;mso-wrap-distance-bottom:0;mso-position-horizontal:absolute;mso-position-horizontal-relative:page;mso-position-vertical:absolute;mso-position-vertical-relative:text;v-text-anchor:top" coordsize="2051999,205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" o:allowincell="f" path="m,l,205649r2051999,l2051999,,,e" fillcolor="#44546a" stroked="f">
                <v:path arrowok="t" textboxrect="0,0,2051999,205649"/>
                <w10:wrap anchorx="page"/>
              </v:shape>
            </w:pict>
          </mc:Fallback>
        </mc:AlternateContent>
      </w:r>
      <w:r w:rsidR="007C4AF4">
        <w:rPr>
          <w:rFonts w:ascii="Calibri" w:eastAsia="Calibri" w:hAnsi="Calibri" w:cs="Calibri"/>
          <w:color w:val="000000"/>
          <w:sz w:val="22"/>
          <w:szCs w:val="22"/>
        </w:rPr>
        <w:t xml:space="preserve">Urban Logistics REIT is a real estate Investment trust managed by Pacific Capital Partners. The company invests in single tenant industrial and logistics properties between </w:t>
      </w:r>
      <w:r w:rsidR="00393775">
        <w:rPr>
          <w:rFonts w:ascii="Calibri" w:eastAsia="Calibri" w:hAnsi="Calibri" w:cs="Calibri"/>
          <w:color w:val="000000"/>
          <w:sz w:val="22"/>
          <w:szCs w:val="22"/>
        </w:rPr>
        <w:t xml:space="preserve">        </w:t>
      </w:r>
      <w:r w:rsidR="007C4AF4">
        <w:rPr>
          <w:rFonts w:ascii="Calibri" w:eastAsia="Calibri" w:hAnsi="Calibri" w:cs="Calibri"/>
          <w:color w:val="000000"/>
          <w:sz w:val="22"/>
          <w:szCs w:val="22"/>
        </w:rPr>
        <w:t>20,000-200,000 square feet that are capable of utilisation by tenants wishing to respond to the rise of e-commerce.</w:t>
      </w:r>
    </w:p>
    <w:p w14:paraId="4B573F46" w14:textId="77777777" w:rsidR="004177C8" w:rsidRDefault="004177C8" w:rsidP="007C4AF4">
      <w:pPr>
        <w:spacing w:line="235" w:lineRule="auto"/>
        <w:ind w:right="-20"/>
        <w:rPr>
          <w:rFonts w:ascii="Calibri" w:eastAsia="Calibri" w:hAnsi="Calibri" w:cs="Calibri"/>
          <w:color w:val="000000"/>
          <w:sz w:val="22"/>
          <w:szCs w:val="22"/>
        </w:rPr>
      </w:pPr>
    </w:p>
    <w:p w14:paraId="6D233E76" w14:textId="77777777" w:rsidR="004177C8" w:rsidRDefault="004177C8" w:rsidP="007C4AF4">
      <w:pPr>
        <w:spacing w:line="235" w:lineRule="auto"/>
        <w:ind w:right="-20"/>
        <w:rPr>
          <w:rFonts w:ascii="Calibri" w:eastAsia="Calibri" w:hAnsi="Calibri" w:cs="Calibri"/>
          <w:color w:val="000000"/>
          <w:sz w:val="22"/>
          <w:szCs w:val="22"/>
        </w:rPr>
      </w:pPr>
      <w:r>
        <w:rPr>
          <w:rFonts w:ascii="Calibri" w:eastAsia="Calibri" w:hAnsi="Calibri" w:cs="Calibri"/>
          <w:color w:val="000000"/>
          <w:sz w:val="22"/>
          <w:szCs w:val="22"/>
        </w:rPr>
        <w:t>Our valuation of Urban Logistics points squarely towards an intrinsic value that is far above the current market price. Our belief is that this difference exists due an increasing demand/supply imbalance driving up rents, yet a market cap that is not yet large enough for institutional investors to drive the price discovery mechanism towards intrinsic value.</w:t>
      </w:r>
    </w:p>
    <w:p w14:paraId="7C20337E" w14:textId="77777777" w:rsidR="004177C8" w:rsidRDefault="004177C8" w:rsidP="007C4AF4">
      <w:pPr>
        <w:spacing w:line="235" w:lineRule="auto"/>
        <w:ind w:right="-20"/>
        <w:rPr>
          <w:rFonts w:ascii="Calibri" w:eastAsia="Calibri" w:hAnsi="Calibri" w:cs="Calibri"/>
          <w:color w:val="000000"/>
          <w:sz w:val="22"/>
          <w:szCs w:val="22"/>
        </w:rPr>
      </w:pPr>
    </w:p>
    <w:p w14:paraId="7A646813" w14:textId="77777777" w:rsidR="0031189E" w:rsidRDefault="0031189E" w:rsidP="007C4AF4">
      <w:pPr>
        <w:spacing w:line="235" w:lineRule="auto"/>
        <w:ind w:right="-20"/>
        <w:rPr>
          <w:rFonts w:ascii="Calibri" w:eastAsia="Calibri" w:hAnsi="Calibri" w:cs="Calibri"/>
          <w:color w:val="000000"/>
          <w:sz w:val="22"/>
          <w:szCs w:val="22"/>
        </w:rPr>
      </w:pPr>
      <w:r>
        <w:rPr>
          <w:rFonts w:ascii="Calibri" w:eastAsia="Calibri" w:hAnsi="Calibri" w:cs="Calibri"/>
          <w:color w:val="000000"/>
          <w:sz w:val="22"/>
          <w:szCs w:val="22"/>
        </w:rPr>
        <w:t>We believe that the key risks to this investment are:</w:t>
      </w:r>
    </w:p>
    <w:p w14:paraId="78F9921E" w14:textId="77777777" w:rsidR="0031189E" w:rsidRPr="000F1553" w:rsidRDefault="0031189E" w:rsidP="0031189E">
      <w:pPr>
        <w:pStyle w:val="ListParagraph"/>
        <w:numPr>
          <w:ilvl w:val="0"/>
          <w:numId w:val="2"/>
        </w:numPr>
        <w:spacing w:line="235" w:lineRule="auto"/>
        <w:ind w:right="-20"/>
        <w:rPr>
          <w:rFonts w:ascii="Calibri" w:eastAsia="Calibri" w:hAnsi="Calibri" w:cs="Calibri"/>
          <w:color w:val="000000"/>
          <w:sz w:val="22"/>
          <w:szCs w:val="22"/>
        </w:rPr>
      </w:pPr>
      <w:r w:rsidRPr="0031189E">
        <w:rPr>
          <w:rFonts w:ascii="Calibri" w:hAnsi="Calibri"/>
          <w:sz w:val="22"/>
          <w:szCs w:val="22"/>
        </w:rPr>
        <w:t>The market fails to realise the comparatively high risk adjusted potential returns of Urban Logistics.</w:t>
      </w:r>
    </w:p>
    <w:p w14:paraId="1967746C" w14:textId="77777777" w:rsidR="000F1553" w:rsidRPr="0031189E" w:rsidRDefault="000F1553" w:rsidP="000F1553">
      <w:pPr>
        <w:pStyle w:val="ListParagraph"/>
        <w:spacing w:line="235" w:lineRule="auto"/>
        <w:ind w:right="-20"/>
        <w:rPr>
          <w:rFonts w:ascii="Calibri" w:eastAsia="Calibri" w:hAnsi="Calibri" w:cs="Calibri"/>
          <w:color w:val="000000"/>
          <w:sz w:val="22"/>
          <w:szCs w:val="22"/>
        </w:rPr>
      </w:pPr>
    </w:p>
    <w:p w14:paraId="30EA1FE3" w14:textId="77777777" w:rsidR="0031189E" w:rsidRPr="000F1553" w:rsidRDefault="0031189E" w:rsidP="0031189E">
      <w:pPr>
        <w:pStyle w:val="ListParagraph"/>
        <w:numPr>
          <w:ilvl w:val="0"/>
          <w:numId w:val="2"/>
        </w:numPr>
        <w:spacing w:line="235" w:lineRule="auto"/>
        <w:ind w:right="-20"/>
        <w:rPr>
          <w:rFonts w:ascii="Calibri" w:eastAsia="Calibri" w:hAnsi="Calibri" w:cs="Calibri"/>
          <w:color w:val="000000"/>
          <w:sz w:val="22"/>
          <w:szCs w:val="22"/>
        </w:rPr>
      </w:pPr>
      <w:r w:rsidRPr="0031189E">
        <w:rPr>
          <w:rFonts w:ascii="Calibri" w:hAnsi="Calibri"/>
          <w:sz w:val="22"/>
          <w:szCs w:val="22"/>
        </w:rPr>
        <w:t>The market for last mile warehousing is disrupted by technological advances.</w:t>
      </w:r>
    </w:p>
    <w:p w14:paraId="20D61A56" w14:textId="77777777" w:rsidR="000F1553" w:rsidRPr="0031189E" w:rsidRDefault="000F1553" w:rsidP="000F1553">
      <w:pPr>
        <w:pStyle w:val="ListParagraph"/>
        <w:spacing w:line="235" w:lineRule="auto"/>
        <w:ind w:right="-20"/>
        <w:rPr>
          <w:rFonts w:ascii="Calibri" w:eastAsia="Calibri" w:hAnsi="Calibri" w:cs="Calibri"/>
          <w:color w:val="000000"/>
          <w:sz w:val="22"/>
          <w:szCs w:val="22"/>
        </w:rPr>
      </w:pPr>
    </w:p>
    <w:p w14:paraId="50BD2B09" w14:textId="77777777" w:rsidR="0031189E" w:rsidRDefault="0031189E" w:rsidP="0031189E">
      <w:pPr>
        <w:pStyle w:val="ListParagraph"/>
        <w:numPr>
          <w:ilvl w:val="0"/>
          <w:numId w:val="2"/>
        </w:numPr>
        <w:spacing w:line="235" w:lineRule="auto"/>
        <w:ind w:right="-20"/>
        <w:rPr>
          <w:rFonts w:ascii="Calibri" w:eastAsia="Calibri" w:hAnsi="Calibri" w:cs="Calibri"/>
          <w:color w:val="000000"/>
          <w:sz w:val="22"/>
          <w:szCs w:val="22"/>
        </w:rPr>
      </w:pPr>
      <w:r w:rsidRPr="0031189E">
        <w:rPr>
          <w:rFonts w:ascii="Calibri" w:eastAsia="Calibri" w:hAnsi="Calibri" w:cs="Calibri"/>
          <w:color w:val="000000"/>
          <w:sz w:val="22"/>
          <w:szCs w:val="22"/>
        </w:rPr>
        <w:t>The UK experiences a prolonged period of economic hardship</w:t>
      </w:r>
      <w:r>
        <w:rPr>
          <w:rFonts w:ascii="Calibri" w:eastAsia="Calibri" w:hAnsi="Calibri" w:cs="Calibri"/>
          <w:color w:val="000000"/>
          <w:sz w:val="22"/>
          <w:szCs w:val="22"/>
        </w:rPr>
        <w:t>.</w:t>
      </w:r>
    </w:p>
    <w:p w14:paraId="0428D14A" w14:textId="77777777" w:rsidR="000F1553" w:rsidRPr="0031189E" w:rsidRDefault="000F1553" w:rsidP="000F1553">
      <w:pPr>
        <w:pStyle w:val="ListParagraph"/>
        <w:spacing w:line="235" w:lineRule="auto"/>
        <w:ind w:right="-20"/>
        <w:rPr>
          <w:rFonts w:ascii="Calibri" w:eastAsia="Calibri" w:hAnsi="Calibri" w:cs="Calibri"/>
          <w:color w:val="000000"/>
          <w:sz w:val="22"/>
          <w:szCs w:val="22"/>
        </w:rPr>
      </w:pPr>
    </w:p>
    <w:p w14:paraId="2CF1AF45" w14:textId="77777777" w:rsidR="00901EB5" w:rsidRPr="0031189E" w:rsidRDefault="0031189E" w:rsidP="0031189E">
      <w:pPr>
        <w:pStyle w:val="ListParagraph"/>
        <w:numPr>
          <w:ilvl w:val="0"/>
          <w:numId w:val="2"/>
        </w:numPr>
        <w:spacing w:line="235" w:lineRule="auto"/>
        <w:ind w:right="-20"/>
        <w:rPr>
          <w:rFonts w:ascii="Calibri" w:eastAsia="Calibri" w:hAnsi="Calibri" w:cs="Calibri"/>
          <w:color w:val="000000"/>
          <w:sz w:val="22"/>
          <w:szCs w:val="22"/>
        </w:rPr>
      </w:pPr>
      <w:r w:rsidRPr="0031189E">
        <w:rPr>
          <w:rFonts w:ascii="Calibri" w:hAnsi="Calibri"/>
          <w:sz w:val="22"/>
          <w:szCs w:val="22"/>
        </w:rPr>
        <w:t>Management</w:t>
      </w:r>
      <w:r w:rsidR="00785810">
        <w:rPr>
          <w:rFonts w:ascii="Calibri" w:hAnsi="Calibri"/>
          <w:sz w:val="22"/>
          <w:szCs w:val="22"/>
        </w:rPr>
        <w:t>’</w:t>
      </w:r>
      <w:r>
        <w:rPr>
          <w:rFonts w:ascii="Calibri" w:hAnsi="Calibri"/>
          <w:sz w:val="22"/>
          <w:szCs w:val="22"/>
        </w:rPr>
        <w:t>s expansionary policy results in a lowered return on assets.</w:t>
      </w:r>
      <w:r w:rsidRPr="0031189E">
        <w:rPr>
          <w:rFonts w:ascii="Calibri" w:hAnsi="Calibri"/>
          <w:sz w:val="22"/>
          <w:szCs w:val="22"/>
        </w:rPr>
        <w:t xml:space="preserve"> </w:t>
      </w:r>
      <w:r w:rsidR="008B48BC" w:rsidRPr="0031189E">
        <w:rPr>
          <w:rFonts w:ascii="Calibri" w:hAnsi="Calibri"/>
          <w:sz w:val="22"/>
          <w:szCs w:val="22"/>
        </w:rPr>
        <w:br w:type="column"/>
      </w:r>
    </w:p>
    <w:p w14:paraId="4EDDA40F" w14:textId="77777777" w:rsidR="00901EB5" w:rsidRPr="0031189E" w:rsidRDefault="00901EB5">
      <w:pPr>
        <w:spacing w:line="240" w:lineRule="exact"/>
        <w:rPr>
          <w:rFonts w:ascii="Calibri" w:eastAsia="Calibri" w:hAnsi="Calibri" w:cs="Calibri"/>
          <w:sz w:val="22"/>
          <w:szCs w:val="22"/>
        </w:rPr>
      </w:pPr>
    </w:p>
    <w:p w14:paraId="27EBC3EB" w14:textId="77777777" w:rsidR="00901EB5" w:rsidRPr="0031189E" w:rsidRDefault="00BA77F3">
      <w:pPr>
        <w:spacing w:line="240" w:lineRule="exact"/>
        <w:rPr>
          <w:rFonts w:ascii="Calibri" w:eastAsia="Calibri" w:hAnsi="Calibri" w:cs="Calibri"/>
          <w:sz w:val="22"/>
          <w:szCs w:val="22"/>
        </w:rPr>
      </w:pPr>
      <w:r>
        <w:rPr>
          <w:noProof/>
        </w:rPr>
        <mc:AlternateContent>
          <mc:Choice Requires="wps">
            <w:drawing>
              <wp:anchor distT="0" distB="0" distL="114300" distR="114300" simplePos="0" relativeHeight="251673088" behindDoc="0" locked="0" layoutInCell="1" allowOverlap="1" wp14:anchorId="3CA435B0" wp14:editId="02AC857F">
                <wp:simplePos x="0" y="0"/>
                <wp:positionH relativeFrom="column">
                  <wp:posOffset>-36195</wp:posOffset>
                </wp:positionH>
                <wp:positionV relativeFrom="paragraph">
                  <wp:posOffset>62522</wp:posOffset>
                </wp:positionV>
                <wp:extent cx="2051685" cy="1210733"/>
                <wp:effectExtent l="0" t="0" r="5715" b="0"/>
                <wp:wrapNone/>
                <wp:docPr id="61" name="Text Box 61"/>
                <wp:cNvGraphicFramePr/>
                <a:graphic xmlns:a="http://schemas.openxmlformats.org/drawingml/2006/main">
                  <a:graphicData uri="http://schemas.microsoft.com/office/word/2010/wordprocessingShape">
                    <wps:wsp>
                      <wps:cNvSpPr txBox="1"/>
                      <wps:spPr>
                        <a:xfrm>
                          <a:off x="0" y="0"/>
                          <a:ext cx="2051685" cy="1210733"/>
                        </a:xfrm>
                        <a:prstGeom prst="rect">
                          <a:avLst/>
                        </a:prstGeom>
                        <a:solidFill>
                          <a:schemeClr val="lt1"/>
                        </a:solidFill>
                        <a:ln w="6350">
                          <a:noFill/>
                        </a:ln>
                      </wps:spPr>
                      <wps:txbx>
                        <w:txbxContent>
                          <w:p w14:paraId="003D9581" w14:textId="77777777" w:rsidR="00062D14" w:rsidRDefault="00062D14">
                            <w:r>
                              <w:t xml:space="preserve">TKR            </w:t>
                            </w:r>
                            <w:r>
                              <w:tab/>
                            </w:r>
                            <w:r>
                              <w:tab/>
                              <w:t>SHED</w:t>
                            </w:r>
                          </w:p>
                          <w:p w14:paraId="559D1EEC" w14:textId="77777777" w:rsidR="00062D14" w:rsidRDefault="00062D14">
                            <w:r>
                              <w:t xml:space="preserve">Price (£)  </w:t>
                            </w:r>
                            <w:r>
                              <w:tab/>
                            </w:r>
                            <w:r>
                              <w:tab/>
                              <w:t>1.45</w:t>
                            </w:r>
                          </w:p>
                          <w:p w14:paraId="07B83242" w14:textId="77777777" w:rsidR="00062D14" w:rsidRDefault="00062D14">
                            <w:r>
                              <w:t>12M High</w:t>
                            </w:r>
                            <w:r>
                              <w:tab/>
                            </w:r>
                            <w:r>
                              <w:tab/>
                              <w:t>1.50</w:t>
                            </w:r>
                          </w:p>
                          <w:p w14:paraId="406CCCC4" w14:textId="77777777" w:rsidR="00062D14" w:rsidRDefault="00062D14">
                            <w:r>
                              <w:t>12M Low</w:t>
                            </w:r>
                            <w:r>
                              <w:tab/>
                            </w:r>
                            <w:r>
                              <w:tab/>
                              <w:t>1.13</w:t>
                            </w:r>
                          </w:p>
                          <w:p w14:paraId="28F85D49" w14:textId="77777777" w:rsidR="00062D14" w:rsidRDefault="00062D14">
                            <w:r>
                              <w:t>Shares (M)</w:t>
                            </w:r>
                            <w:r>
                              <w:tab/>
                            </w:r>
                            <w:r>
                              <w:tab/>
                              <w:t>86.5</w:t>
                            </w:r>
                          </w:p>
                          <w:p w14:paraId="5B1F8A71" w14:textId="77777777" w:rsidR="00062D14" w:rsidRDefault="00062D14">
                            <w:r>
                              <w:t>Mkt Cap (M)</w:t>
                            </w:r>
                            <w:r>
                              <w:tab/>
                            </w:r>
                            <w:r>
                              <w:tab/>
                              <w:t>127.94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A435B0" id="Text Box 61" o:spid="_x0000_s1029" type="#_x0000_t202" style="position:absolute;margin-left:-2.85pt;margin-top:4.9pt;width:161.55pt;height:95.35pt;z-index:251673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" fillcolor="white [3201]" stroked="f" strokeweight=".5pt">
                <v:textbox>
                  <w:txbxContent>
                    <w:p w14:paraId="003D9581" w14:textId="77777777" w:rsidR="00062D14" w:rsidRDefault="00062D14">
                      <w:r>
                        <w:t xml:space="preserve">TKR            </w:t>
                      </w:r>
                      <w:r>
                        <w:tab/>
                      </w:r>
                      <w:r>
                        <w:tab/>
                        <w:t>SHED</w:t>
                      </w:r>
                    </w:p>
                    <w:p w14:paraId="559D1EEC" w14:textId="77777777" w:rsidR="00062D14" w:rsidRDefault="00062D14">
                      <w:r>
                        <w:t xml:space="preserve">Price (£)  </w:t>
                      </w:r>
                      <w:r>
                        <w:tab/>
                      </w:r>
                      <w:r>
                        <w:tab/>
                        <w:t>1.45</w:t>
                      </w:r>
                    </w:p>
                    <w:p w14:paraId="07B83242" w14:textId="77777777" w:rsidR="00062D14" w:rsidRDefault="00062D14">
                      <w:r>
                        <w:t>12M High</w:t>
                      </w:r>
                      <w:r>
                        <w:tab/>
                      </w:r>
                      <w:r>
                        <w:tab/>
                        <w:t>1.50</w:t>
                      </w:r>
                    </w:p>
                    <w:p w14:paraId="406CCCC4" w14:textId="77777777" w:rsidR="00062D14" w:rsidRDefault="00062D14">
                      <w:r>
                        <w:t>12M Low</w:t>
                      </w:r>
                      <w:r>
                        <w:tab/>
                      </w:r>
                      <w:r>
                        <w:tab/>
                        <w:t>1.13</w:t>
                      </w:r>
                    </w:p>
                    <w:p w14:paraId="28F85D49" w14:textId="77777777" w:rsidR="00062D14" w:rsidRDefault="00062D14">
                      <w:r>
                        <w:t>Shares (M)</w:t>
                      </w:r>
                      <w:r>
                        <w:tab/>
                      </w:r>
                      <w:r>
                        <w:tab/>
                        <w:t>86.5</w:t>
                      </w:r>
                    </w:p>
                    <w:p w14:paraId="5B1F8A71" w14:textId="77777777" w:rsidR="00062D14" w:rsidRDefault="00062D14">
                      <w:r>
                        <w:t>Mkt Cap (M)</w:t>
                      </w:r>
                      <w:r>
                        <w:tab/>
                      </w:r>
                      <w:r>
                        <w:tab/>
                        <w:t>127.94</w:t>
                      </w:r>
                    </w:p>
                  </w:txbxContent>
                </v:textbox>
              </v:shape>
            </w:pict>
          </mc:Fallback>
        </mc:AlternateContent>
      </w:r>
    </w:p>
    <w:p w14:paraId="1AC7DA80" w14:textId="77777777" w:rsidR="004177C8" w:rsidRPr="0031189E" w:rsidRDefault="004177C8">
      <w:pPr>
        <w:rPr>
          <w:rFonts w:ascii="Calibri" w:hAnsi="Calibri"/>
          <w:sz w:val="22"/>
          <w:szCs w:val="22"/>
        </w:rPr>
        <w:sectPr w:rsidR="004177C8" w:rsidRPr="0031189E">
          <w:type w:val="continuous"/>
          <w:pgSz w:w="10800" w:h="15600"/>
          <w:pgMar w:top="353" w:right="513" w:bottom="1134" w:left="637" w:header="720" w:footer="720" w:gutter="0"/>
          <w:cols w:num="2" w:space="708" w:equalWidth="0">
            <w:col w:w="5376" w:space="1004"/>
            <w:col w:w="3269" w:space="0"/>
          </w:cols>
        </w:sectPr>
      </w:pPr>
    </w:p>
    <w:p w14:paraId="001628F6" w14:textId="77777777" w:rsidR="00C31C96" w:rsidRDefault="00214F40">
      <w:pPr>
        <w:sectPr w:rsidR="00C31C96" w:rsidSect="00C31C96">
          <w:type w:val="continuous"/>
          <w:pgSz w:w="10800" w:h="15600"/>
          <w:pgMar w:top="353" w:right="513" w:bottom="1134" w:left="637" w:header="720" w:footer="227" w:gutter="0"/>
          <w:cols w:space="708"/>
          <w:docGrid w:linePitch="326"/>
        </w:sectPr>
      </w:pPr>
      <w:r>
        <w:rPr>
          <w:noProof/>
        </w:rPr>
        <mc:AlternateContent>
          <mc:Choice Requires="wps">
            <w:drawing>
              <wp:anchor distT="0" distB="0" distL="0" distR="0" simplePos="0" relativeHeight="251667968" behindDoc="1" locked="0" layoutInCell="0" allowOverlap="1" wp14:anchorId="2F8A1A7A" wp14:editId="60267CC8">
                <wp:simplePos x="0" y="0"/>
                <wp:positionH relativeFrom="page">
                  <wp:posOffset>-29552</wp:posOffset>
                </wp:positionH>
                <wp:positionV relativeFrom="page">
                  <wp:posOffset>9552305</wp:posOffset>
                </wp:positionV>
                <wp:extent cx="6858000" cy="0"/>
                <wp:effectExtent l="0" t="0" r="12700" b="12700"/>
                <wp:wrapNone/>
                <wp:docPr id="46" name="drawingObject44"/>
                <wp:cNvGraphicFramePr/>
                <a:graphic xmlns:a="http://schemas.openxmlformats.org/drawingml/2006/main">
                  <a:graphicData uri="http://schemas.microsoft.com/office/word/2010/wordprocessingShape">
                    <wps:wsp>
                      <wps:cNvSpPr/>
                      <wps:spPr>
                        <a:xfrm>
                          <a:off x="0" y="0"/>
                          <a:ext cx="6858000" cy="0"/>
                        </a:xfrm>
                        <a:custGeom>
                          <a:avLst/>
                          <a:gdLst/>
                          <a:ahLst/>
                          <a:cxnLst/>
                          <a:rect l="0" t="0" r="0" b="0"/>
                          <a:pathLst>
                            <a:path w="6858000">
                              <a:moveTo>
                                <a:pt x="0" y="0"/>
                              </a:moveTo>
                              <a:lnTo>
                                <a:pt x="6858000" y="0"/>
                              </a:lnTo>
                            </a:path>
                          </a:pathLst>
                        </a:custGeom>
                        <a:noFill/>
                        <a:ln w="6350" cap="flat">
                          <a:solidFill>
                            <a:srgbClr val="1F4E79"/>
                          </a:solidFill>
                          <a:prstDash/>
                        </a:ln>
                      </wps:spPr>
                      <wps:bodyPr vertOverflow="overflow" horzOverflow="overflow" vert="horz" lIns="91440" tIns="45720" rIns="91440" bIns="45720" anchor="t"/>
                    </wps:wsp>
                  </a:graphicData>
                </a:graphic>
              </wp:anchor>
            </w:drawing>
          </mc:Choice>
          <mc:Fallback>
            <w:pict>
              <v:shape w14:anchorId="0D3AF62A" id="drawingObject44" o:spid="_x0000_s1026" style="position:absolute;margin-left:-2.35pt;margin-top:752.15pt;width:540pt;height:0;z-index:-251648512;visibility:visible;mso-wrap-style:square;mso-wrap-distance-left:0;mso-wrap-distance-top:0;mso-wrap-distance-right:0;mso-wrap-distance-bottom:0;mso-position-horizontal:absolute;mso-position-horizontal-relative:page;mso-position-vertical:absolute;mso-position-vertical-relative:page;v-text-anchor:top" coordsize="6858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" o:allowincell="f" path="m,l6858000,e" filled="f" strokecolor="#1f4e79" strokeweight=".5pt">
                <v:path arrowok="t" textboxrect="0,0,6858000,0"/>
                <w10:wrap anchorx="page" anchory="page"/>
              </v:shape>
            </w:pict>
          </mc:Fallback>
        </mc:AlternateContent>
      </w:r>
    </w:p>
    <w:p w14:paraId="6D2E0B47" w14:textId="197F8694" w:rsidR="00901EB5" w:rsidRDefault="006103C6">
      <w:pPr>
        <w:ind w:left="5726" w:right="-20"/>
        <w:rPr>
          <w:rFonts w:ascii="Calibri" w:eastAsia="Calibri" w:hAnsi="Calibri" w:cs="Calibri"/>
          <w:b/>
          <w:bCs/>
          <w:color w:val="7030A0"/>
          <w:sz w:val="36"/>
          <w:szCs w:val="36"/>
        </w:rPr>
      </w:pPr>
      <w:r w:rsidRPr="006103C6">
        <w:rPr>
          <w:rFonts w:ascii="Times New Roman" w:eastAsia="Times New Roman" w:hAnsi="Times New Roman" w:cs="Times New Roman"/>
          <w:noProof/>
        </w:rPr>
        <w:lastRenderedPageBreak/>
        <w:drawing>
          <wp:anchor distT="0" distB="0" distL="114300" distR="114300" simplePos="0" relativeHeight="251678208" behindDoc="0" locked="0" layoutInCell="1" allowOverlap="1" wp14:anchorId="1DE86593" wp14:editId="4C5A9709">
            <wp:simplePos x="0" y="0"/>
            <wp:positionH relativeFrom="column">
              <wp:posOffset>3792976</wp:posOffset>
            </wp:positionH>
            <wp:positionV relativeFrom="paragraph">
              <wp:posOffset>24</wp:posOffset>
            </wp:positionV>
            <wp:extent cx="2325370" cy="361950"/>
            <wp:effectExtent l="0" t="0" r="0" b="6350"/>
            <wp:wrapSquare wrapText="bothSides"/>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5370" cy="361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739F8D" w14:textId="09FF12C3" w:rsidR="00901EB5" w:rsidRDefault="00FE087C" w:rsidP="00FE087C">
      <w:pPr>
        <w:tabs>
          <w:tab w:val="left" w:pos="1269"/>
        </w:tabs>
        <w:spacing w:line="240" w:lineRule="exact"/>
        <w:rPr>
          <w:rFonts w:ascii="Calibri" w:eastAsia="Calibri" w:hAnsi="Calibri" w:cs="Calibri"/>
        </w:rPr>
      </w:pPr>
      <w:r>
        <w:rPr>
          <w:rFonts w:ascii="Calibri" w:eastAsia="Calibri" w:hAnsi="Calibri" w:cs="Calibri"/>
        </w:rPr>
        <w:tab/>
      </w:r>
    </w:p>
    <w:p w14:paraId="60BCB5F8" w14:textId="77777777" w:rsidR="00C31C96" w:rsidRDefault="00C31C96">
      <w:pPr>
        <w:spacing w:after="49" w:line="240" w:lineRule="exact"/>
        <w:rPr>
          <w:rFonts w:ascii="Calibri" w:eastAsia="Calibri" w:hAnsi="Calibri" w:cs="Calibri"/>
        </w:rPr>
      </w:pPr>
    </w:p>
    <w:p w14:paraId="429DCB74" w14:textId="77777777" w:rsidR="00C31C96" w:rsidRDefault="00C31C96">
      <w:pPr>
        <w:spacing w:after="49" w:line="240" w:lineRule="exact"/>
        <w:rPr>
          <w:rFonts w:ascii="Calibri" w:eastAsia="Calibri" w:hAnsi="Calibri" w:cs="Calibri"/>
        </w:rPr>
      </w:pPr>
    </w:p>
    <w:p w14:paraId="3A92EB3F" w14:textId="77777777" w:rsidR="00901EB5" w:rsidRDefault="008B48BC">
      <w:pPr>
        <w:ind w:right="-20"/>
        <w:rPr>
          <w:rFonts w:ascii="Calibri" w:eastAsia="Calibri" w:hAnsi="Calibri" w:cs="Calibri"/>
          <w:b/>
          <w:bCs/>
          <w:i/>
          <w:iCs/>
          <w:color w:val="44546A"/>
          <w:sz w:val="36"/>
          <w:szCs w:val="36"/>
        </w:rPr>
      </w:pPr>
      <w:r>
        <w:rPr>
          <w:rFonts w:ascii="Calibri" w:eastAsia="Calibri" w:hAnsi="Calibri" w:cs="Calibri"/>
          <w:b/>
          <w:bCs/>
          <w:i/>
          <w:iCs/>
          <w:color w:val="44546A"/>
          <w:sz w:val="36"/>
          <w:szCs w:val="36"/>
        </w:rPr>
        <w:t>Company</w:t>
      </w:r>
      <w:r>
        <w:rPr>
          <w:rFonts w:ascii="Calibri" w:eastAsia="Calibri" w:hAnsi="Calibri" w:cs="Calibri"/>
          <w:color w:val="44546A"/>
          <w:sz w:val="36"/>
          <w:szCs w:val="36"/>
        </w:rPr>
        <w:t xml:space="preserve"> </w:t>
      </w:r>
      <w:r>
        <w:rPr>
          <w:rFonts w:ascii="Calibri" w:eastAsia="Calibri" w:hAnsi="Calibri" w:cs="Calibri"/>
          <w:b/>
          <w:bCs/>
          <w:i/>
          <w:iCs/>
          <w:color w:val="44546A"/>
          <w:sz w:val="36"/>
          <w:szCs w:val="36"/>
        </w:rPr>
        <w:t>Overview</w:t>
      </w:r>
    </w:p>
    <w:p w14:paraId="31579C04" w14:textId="77777777" w:rsidR="00901EB5" w:rsidRDefault="00831D24">
      <w:pPr>
        <w:spacing w:after="12" w:line="240" w:lineRule="exact"/>
        <w:rPr>
          <w:rFonts w:ascii="Calibri" w:eastAsia="Calibri" w:hAnsi="Calibri" w:cs="Calibri"/>
        </w:rPr>
      </w:pPr>
      <w:r>
        <w:rPr>
          <w:rFonts w:ascii="Calibri" w:eastAsia="Calibri" w:hAnsi="Calibri" w:cs="Calibri"/>
          <w:noProof/>
        </w:rPr>
        <mc:AlternateContent>
          <mc:Choice Requires="wps">
            <w:drawing>
              <wp:anchor distT="0" distB="0" distL="114300" distR="114300" simplePos="0" relativeHeight="251735552" behindDoc="0" locked="0" layoutInCell="1" allowOverlap="1" wp14:anchorId="08FFF670" wp14:editId="5E9DDC69">
                <wp:simplePos x="0" y="0"/>
                <wp:positionH relativeFrom="column">
                  <wp:posOffset>-2588</wp:posOffset>
                </wp:positionH>
                <wp:positionV relativeFrom="paragraph">
                  <wp:posOffset>12058</wp:posOffset>
                </wp:positionV>
                <wp:extent cx="6322743" cy="3287210"/>
                <wp:effectExtent l="0" t="0" r="1905" b="2540"/>
                <wp:wrapNone/>
                <wp:docPr id="112" name="Text Box 112"/>
                <wp:cNvGraphicFramePr/>
                <a:graphic xmlns:a="http://schemas.openxmlformats.org/drawingml/2006/main">
                  <a:graphicData uri="http://schemas.microsoft.com/office/word/2010/wordprocessingShape">
                    <wps:wsp>
                      <wps:cNvSpPr txBox="1"/>
                      <wps:spPr>
                        <a:xfrm>
                          <a:off x="0" y="0"/>
                          <a:ext cx="6322743" cy="3287210"/>
                        </a:xfrm>
                        <a:prstGeom prst="rect">
                          <a:avLst/>
                        </a:prstGeom>
                        <a:solidFill>
                          <a:schemeClr val="lt1"/>
                        </a:solidFill>
                        <a:ln w="6350">
                          <a:noFill/>
                        </a:ln>
                      </wps:spPr>
                      <wps:txbx>
                        <w:txbxContent>
                          <w:p w14:paraId="2C52F31F" w14:textId="77777777" w:rsidR="00062D14" w:rsidRPr="00E403D5" w:rsidRDefault="00062D14" w:rsidP="00E403D5">
                            <w:pPr>
                              <w:rPr>
                                <w:rFonts w:ascii="Times New Roman" w:eastAsia="Times New Roman" w:hAnsi="Times New Roman" w:cs="Times New Roman"/>
                              </w:rPr>
                            </w:pPr>
                            <w:r w:rsidRPr="00831D24">
                              <w:rPr>
                                <w:rFonts w:ascii="Calibri" w:eastAsia="Calibri" w:hAnsi="Calibri" w:cs="Calibri"/>
                                <w:color w:val="000000"/>
                              </w:rPr>
                              <w:t>Entering the market in 2017 Urban Logistics REIT (formerly Pacific Industrial &amp; Logistics REIT) is a property investment company with a defin</w:t>
                            </w:r>
                            <w:r w:rsidRPr="00831D24">
                              <w:rPr>
                                <w:rFonts w:ascii="Times New Roman" w:eastAsia="Times New Roman" w:hAnsi="Times New Roman" w:cs="Times New Roman"/>
                              </w:rPr>
                              <w:fldChar w:fldCharType="begin"/>
                            </w:r>
                            <w:r w:rsidRPr="00831D24">
                              <w:rPr>
                                <w:rFonts w:ascii="Times New Roman" w:eastAsia="Times New Roman" w:hAnsi="Times New Roman" w:cs="Times New Roman"/>
                              </w:rPr>
                              <w:instrText xml:space="preserve"> INCLUDEPICTURE "https://www.urbanlogisticsreit.com/media/1168/logo-1x.png" \* MERGEFORMATINET </w:instrText>
                            </w:r>
                            <w:r w:rsidRPr="00831D24">
                              <w:rPr>
                                <w:rFonts w:ascii="Times New Roman" w:eastAsia="Times New Roman" w:hAnsi="Times New Roman" w:cs="Times New Roman"/>
                              </w:rPr>
                              <w:fldChar w:fldCharType="end"/>
                            </w:r>
                            <w:r w:rsidRPr="00831D24">
                              <w:rPr>
                                <w:rFonts w:ascii="Calibri" w:eastAsia="Calibri" w:hAnsi="Calibri" w:cs="Calibri"/>
                                <w:color w:val="000000"/>
                              </w:rPr>
                              <w:t xml:space="preserve">ed focus on Industrial and Logistics warehouses between 20,000 and 200,000 sqft. The portfolio of 38 warehouses that Urban Logistics has acquired over the past 3 years are located and equipped to assist tenant companies in creating a distribution network capable of dealing with the structural shift towards e-commerce and fast delivery. </w:t>
                            </w:r>
                          </w:p>
                          <w:p w14:paraId="0545B446" w14:textId="77777777" w:rsidR="00062D14" w:rsidRPr="00831D24" w:rsidRDefault="00062D14" w:rsidP="00831D24">
                            <w:pPr>
                              <w:spacing w:after="111" w:line="240" w:lineRule="exact"/>
                              <w:rPr>
                                <w:rFonts w:ascii="Calibri" w:eastAsia="Calibri" w:hAnsi="Calibri" w:cs="Calibri"/>
                                <w:color w:val="000000"/>
                              </w:rPr>
                            </w:pPr>
                          </w:p>
                          <w:p w14:paraId="5E2183E5" w14:textId="77777777" w:rsidR="00062D14" w:rsidRPr="00831D24" w:rsidRDefault="00062D14" w:rsidP="00831D24">
                            <w:pPr>
                              <w:spacing w:after="111" w:line="240" w:lineRule="exact"/>
                              <w:rPr>
                                <w:rFonts w:ascii="Calibri" w:eastAsia="Calibri" w:hAnsi="Calibri" w:cs="Calibri"/>
                                <w:color w:val="000000"/>
                              </w:rPr>
                            </w:pPr>
                            <w:r w:rsidRPr="00831D24">
                              <w:rPr>
                                <w:rFonts w:ascii="Calibri" w:eastAsia="Calibri" w:hAnsi="Calibri" w:cs="Calibri"/>
                                <w:color w:val="000000"/>
                              </w:rPr>
                              <w:t>These warehouses are overwhelmingly located in the Midlands and South East of the UK. The motivation behind this is a belief that the high rate of conversion of industrial land to higher value uses, such as property development, will lead to these warehouses becoming a scarce resources in the face of increasing demand from potential tenants with time pressure to deliver their goods. The management of Urban Logistics plans to convert this structural imbalance into a strong position to negotiate rent increases with tenants.</w:t>
                            </w:r>
                          </w:p>
                          <w:p w14:paraId="46CDD74F" w14:textId="77777777" w:rsidR="00062D14" w:rsidRPr="00831D24" w:rsidRDefault="00062D14" w:rsidP="00831D24">
                            <w:pPr>
                              <w:spacing w:after="111" w:line="240" w:lineRule="exact"/>
                              <w:rPr>
                                <w:rFonts w:ascii="Calibri" w:eastAsia="Calibri" w:hAnsi="Calibri" w:cs="Calibri"/>
                                <w:color w:val="000000"/>
                              </w:rPr>
                            </w:pPr>
                          </w:p>
                          <w:p w14:paraId="61C9D9D9" w14:textId="77777777" w:rsidR="00062D14" w:rsidRPr="00021665" w:rsidRDefault="00062D14" w:rsidP="00831D24">
                            <w:pPr>
                              <w:rPr>
                                <w:rFonts w:ascii="Calibri" w:eastAsia="Calibri" w:hAnsi="Calibri" w:cs="Calibri"/>
                                <w:color w:val="FF0000"/>
                              </w:rPr>
                            </w:pPr>
                            <w:r w:rsidRPr="00831D24">
                              <w:rPr>
                                <w:rFonts w:ascii="Calibri" w:eastAsia="Calibri" w:hAnsi="Calibri" w:cs="Calibri"/>
                                <w:color w:val="000000"/>
                              </w:rPr>
                              <w:t>The company additionally aims to increase the income it can derive from its portfolio through active asset management programmes, recently initiating a £15.4M development of 6 logistics warehouses on arterial locations of the M6 &amp; M1 motorways.</w:t>
                            </w:r>
                            <w:r>
                              <w:rPr>
                                <w:rFonts w:ascii="Calibri" w:eastAsia="Calibri" w:hAnsi="Calibri" w:cs="Calibri"/>
                                <w:color w:val="FF0000"/>
                              </w:rPr>
                              <w:t>`</w:t>
                            </w:r>
                          </w:p>
                          <w:p w14:paraId="17B7461B" w14:textId="77777777" w:rsidR="00062D14" w:rsidRDefault="00062D14" w:rsidP="00831D24">
                            <w:pPr>
                              <w:rPr>
                                <w:rFonts w:ascii="Calibri" w:eastAsia="Calibri" w:hAnsi="Calibri" w:cs="Calibri"/>
                                <w:color w:val="000000"/>
                              </w:rPr>
                            </w:pPr>
                          </w:p>
                          <w:p w14:paraId="6D093F57" w14:textId="77777777" w:rsidR="00062D14" w:rsidRDefault="00062D14" w:rsidP="00831D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FFF670" id="Text Box 112" o:spid="_x0000_s1030" type="#_x0000_t202" style="position:absolute;margin-left:-.2pt;margin-top:.95pt;width:497.85pt;height:258.8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" fillcolor="white [3201]" stroked="f" strokeweight=".5pt">
                <v:textbox>
                  <w:txbxContent>
                    <w:p w14:paraId="2C52F31F" w14:textId="77777777" w:rsidR="00062D14" w:rsidRPr="00E403D5" w:rsidRDefault="00062D14" w:rsidP="00E403D5">
                      <w:pPr>
                        <w:rPr>
                          <w:rFonts w:ascii="Times New Roman" w:eastAsia="Times New Roman" w:hAnsi="Times New Roman" w:cs="Times New Roman"/>
                        </w:rPr>
                      </w:pPr>
                      <w:r w:rsidRPr="00831D24">
                        <w:rPr>
                          <w:rFonts w:ascii="Calibri" w:eastAsia="Calibri" w:hAnsi="Calibri" w:cs="Calibri"/>
                          <w:color w:val="000000"/>
                        </w:rPr>
                        <w:t>Entering the market in 2017 Urban Logistics REIT (formerly Pacific Industrial &amp; Logistics REIT) is a property investment company with a defin</w:t>
                      </w:r>
                      <w:r w:rsidRPr="00831D24">
                        <w:rPr>
                          <w:rFonts w:ascii="Times New Roman" w:eastAsia="Times New Roman" w:hAnsi="Times New Roman" w:cs="Times New Roman"/>
                        </w:rPr>
                        <w:fldChar w:fldCharType="begin"/>
                      </w:r>
                      <w:r w:rsidRPr="00831D24">
                        <w:rPr>
                          <w:rFonts w:ascii="Times New Roman" w:eastAsia="Times New Roman" w:hAnsi="Times New Roman" w:cs="Times New Roman"/>
                        </w:rPr>
                        <w:instrText xml:space="preserve"> INCLUDEPICTURE "https://www.urbanlogisticsreit.com/media/1168/logo-1x.png" \* MERGEFORMATINET </w:instrText>
                      </w:r>
                      <w:r w:rsidRPr="00831D24">
                        <w:rPr>
                          <w:rFonts w:ascii="Times New Roman" w:eastAsia="Times New Roman" w:hAnsi="Times New Roman" w:cs="Times New Roman"/>
                        </w:rPr>
                        <w:fldChar w:fldCharType="end"/>
                      </w:r>
                      <w:r w:rsidRPr="00831D24">
                        <w:rPr>
                          <w:rFonts w:ascii="Calibri" w:eastAsia="Calibri" w:hAnsi="Calibri" w:cs="Calibri"/>
                          <w:color w:val="000000"/>
                        </w:rPr>
                        <w:t xml:space="preserve">ed focus on Industrial and Logistics warehouses between 20,000 and 200,000 sqft. The portfolio of 38 warehouses that Urban Logistics has acquired over the past 3 years are located and equipped to assist tenant companies in creating a distribution network capable of dealing with the structural shift towards e-commerce and fast delivery. </w:t>
                      </w:r>
                    </w:p>
                    <w:p w14:paraId="0545B446" w14:textId="77777777" w:rsidR="00062D14" w:rsidRPr="00831D24" w:rsidRDefault="00062D14" w:rsidP="00831D24">
                      <w:pPr>
                        <w:spacing w:after="111" w:line="240" w:lineRule="exact"/>
                        <w:rPr>
                          <w:rFonts w:ascii="Calibri" w:eastAsia="Calibri" w:hAnsi="Calibri" w:cs="Calibri"/>
                          <w:color w:val="000000"/>
                        </w:rPr>
                      </w:pPr>
                    </w:p>
                    <w:p w14:paraId="5E2183E5" w14:textId="77777777" w:rsidR="00062D14" w:rsidRPr="00831D24" w:rsidRDefault="00062D14" w:rsidP="00831D24">
                      <w:pPr>
                        <w:spacing w:after="111" w:line="240" w:lineRule="exact"/>
                        <w:rPr>
                          <w:rFonts w:ascii="Calibri" w:eastAsia="Calibri" w:hAnsi="Calibri" w:cs="Calibri"/>
                          <w:color w:val="000000"/>
                        </w:rPr>
                      </w:pPr>
                      <w:r w:rsidRPr="00831D24">
                        <w:rPr>
                          <w:rFonts w:ascii="Calibri" w:eastAsia="Calibri" w:hAnsi="Calibri" w:cs="Calibri"/>
                          <w:color w:val="000000"/>
                        </w:rPr>
                        <w:t>These warehouses are overwhelmingly located in the Midlands and South East of the UK. The motivation behind this is a belief that the high rate of conversion of industrial land to higher value uses, such as property development, will lead to these warehouses becoming a scarce resources in the face of increasing demand from potential tenants with time pressure to deliver their goods. The management of Urban Logistics plans to convert this structural imbalance into a strong position to negotiate rent increases with tenants.</w:t>
                      </w:r>
                    </w:p>
                    <w:p w14:paraId="46CDD74F" w14:textId="77777777" w:rsidR="00062D14" w:rsidRPr="00831D24" w:rsidRDefault="00062D14" w:rsidP="00831D24">
                      <w:pPr>
                        <w:spacing w:after="111" w:line="240" w:lineRule="exact"/>
                        <w:rPr>
                          <w:rFonts w:ascii="Calibri" w:eastAsia="Calibri" w:hAnsi="Calibri" w:cs="Calibri"/>
                          <w:color w:val="000000"/>
                        </w:rPr>
                      </w:pPr>
                    </w:p>
                    <w:p w14:paraId="61C9D9D9" w14:textId="77777777" w:rsidR="00062D14" w:rsidRPr="00021665" w:rsidRDefault="00062D14" w:rsidP="00831D24">
                      <w:pPr>
                        <w:rPr>
                          <w:rFonts w:ascii="Calibri" w:eastAsia="Calibri" w:hAnsi="Calibri" w:cs="Calibri"/>
                          <w:color w:val="FF0000"/>
                        </w:rPr>
                      </w:pPr>
                      <w:r w:rsidRPr="00831D24">
                        <w:rPr>
                          <w:rFonts w:ascii="Calibri" w:eastAsia="Calibri" w:hAnsi="Calibri" w:cs="Calibri"/>
                          <w:color w:val="000000"/>
                        </w:rPr>
                        <w:t>The company additionally aims to increase the income it can derive from its portfolio through active asset management programmes, recently initiating a £15.4M development of 6 logistics warehouses on arterial locations of the M6 &amp; M1 motorways.</w:t>
                      </w:r>
                      <w:r>
                        <w:rPr>
                          <w:rFonts w:ascii="Calibri" w:eastAsia="Calibri" w:hAnsi="Calibri" w:cs="Calibri"/>
                          <w:color w:val="FF0000"/>
                        </w:rPr>
                        <w:t>`</w:t>
                      </w:r>
                    </w:p>
                    <w:p w14:paraId="17B7461B" w14:textId="77777777" w:rsidR="00062D14" w:rsidRDefault="00062D14" w:rsidP="00831D24">
                      <w:pPr>
                        <w:rPr>
                          <w:rFonts w:ascii="Calibri" w:eastAsia="Calibri" w:hAnsi="Calibri" w:cs="Calibri"/>
                          <w:color w:val="000000"/>
                        </w:rPr>
                      </w:pPr>
                    </w:p>
                    <w:p w14:paraId="6D093F57" w14:textId="77777777" w:rsidR="00062D14" w:rsidRDefault="00062D14" w:rsidP="00831D24"/>
                  </w:txbxContent>
                </v:textbox>
              </v:shape>
            </w:pict>
          </mc:Fallback>
        </mc:AlternateContent>
      </w:r>
    </w:p>
    <w:p w14:paraId="09090DEA" w14:textId="77777777" w:rsidR="00901EB5" w:rsidRDefault="00901EB5">
      <w:pPr>
        <w:sectPr w:rsidR="00901EB5" w:rsidSect="00593D5B">
          <w:pgSz w:w="10800" w:h="15600"/>
          <w:pgMar w:top="476" w:right="363" w:bottom="0" w:left="476" w:header="720" w:footer="227" w:gutter="0"/>
          <w:cols w:space="708"/>
          <w:docGrid w:linePitch="326"/>
        </w:sectPr>
      </w:pPr>
    </w:p>
    <w:p w14:paraId="3B676FEC" w14:textId="77777777" w:rsidR="00901EB5" w:rsidRPr="00831D24" w:rsidRDefault="008B48BC">
      <w:pPr>
        <w:spacing w:after="111" w:line="240" w:lineRule="exact"/>
        <w:rPr>
          <w:rFonts w:ascii="Calibri" w:eastAsia="Calibri" w:hAnsi="Calibri" w:cs="Calibri"/>
          <w:color w:val="000000"/>
        </w:rPr>
      </w:pPr>
      <w:r w:rsidRPr="00831D24">
        <w:br w:type="column"/>
      </w:r>
    </w:p>
    <w:p w14:paraId="0A3D8721" w14:textId="77777777" w:rsidR="00901EB5" w:rsidRPr="00831D24" w:rsidRDefault="00901EB5">
      <w:pPr>
        <w:sectPr w:rsidR="00901EB5" w:rsidRPr="00831D24">
          <w:type w:val="continuous"/>
          <w:pgSz w:w="10800" w:h="15600"/>
          <w:pgMar w:top="474" w:right="365" w:bottom="0" w:left="478" w:header="720" w:footer="720" w:gutter="0"/>
          <w:cols w:num="3" w:space="708" w:equalWidth="0">
            <w:col w:w="5996" w:space="722"/>
            <w:col w:w="738" w:space="379"/>
            <w:col w:w="2117" w:space="0"/>
          </w:cols>
        </w:sectPr>
      </w:pPr>
    </w:p>
    <w:p w14:paraId="7575C105" w14:textId="77777777" w:rsidR="00901EB5" w:rsidRPr="00831D24" w:rsidRDefault="00901EB5">
      <w:pPr>
        <w:spacing w:line="87" w:lineRule="exact"/>
        <w:rPr>
          <w:rFonts w:ascii="Times New Roman" w:eastAsia="Times New Roman" w:hAnsi="Times New Roman" w:cs="Times New Roman"/>
        </w:rPr>
      </w:pPr>
    </w:p>
    <w:p w14:paraId="417ADA52" w14:textId="77777777" w:rsidR="00901EB5" w:rsidRPr="00831D24" w:rsidRDefault="00901EB5">
      <w:pPr>
        <w:sectPr w:rsidR="00901EB5" w:rsidRPr="00831D24">
          <w:type w:val="continuous"/>
          <w:pgSz w:w="10800" w:h="15600"/>
          <w:pgMar w:top="474" w:right="365" w:bottom="0" w:left="478" w:header="720" w:footer="720" w:gutter="0"/>
          <w:cols w:space="708"/>
        </w:sectPr>
      </w:pPr>
    </w:p>
    <w:p w14:paraId="21165F39" w14:textId="77777777" w:rsidR="00901EB5" w:rsidRPr="00831D24" w:rsidRDefault="00901EB5">
      <w:pPr>
        <w:spacing w:after="19" w:line="200" w:lineRule="exact"/>
        <w:rPr>
          <w:rFonts w:ascii="Times New Roman" w:eastAsia="Times New Roman" w:hAnsi="Times New Roman" w:cs="Times New Roman"/>
        </w:rPr>
      </w:pPr>
    </w:p>
    <w:p w14:paraId="724FC29B" w14:textId="77777777" w:rsidR="00901EB5" w:rsidRPr="00831D24" w:rsidRDefault="00901EB5" w:rsidP="000F1553">
      <w:pPr>
        <w:ind w:right="-20"/>
        <w:rPr>
          <w:rFonts w:ascii="Calibri" w:eastAsia="Calibri" w:hAnsi="Calibri" w:cs="Calibri"/>
          <w:color w:val="000000"/>
        </w:rPr>
        <w:sectPr w:rsidR="00901EB5" w:rsidRPr="00831D24">
          <w:type w:val="continuous"/>
          <w:pgSz w:w="10800" w:h="15600"/>
          <w:pgMar w:top="474" w:right="365" w:bottom="0" w:left="478" w:header="720" w:footer="720" w:gutter="0"/>
          <w:cols w:num="3" w:space="708" w:equalWidth="0">
            <w:col w:w="5985" w:space="733"/>
            <w:col w:w="1758" w:space="559"/>
            <w:col w:w="917" w:space="0"/>
          </w:cols>
        </w:sectPr>
      </w:pPr>
    </w:p>
    <w:p w14:paraId="78E99749" w14:textId="77777777" w:rsidR="00831D24" w:rsidRDefault="00831D24"/>
    <w:p w14:paraId="345DC9C6" w14:textId="77777777" w:rsidR="00831D24" w:rsidRDefault="00831D24"/>
    <w:p w14:paraId="0D128D52" w14:textId="77777777" w:rsidR="00831D24" w:rsidRDefault="00831D24"/>
    <w:p w14:paraId="1BC434D8" w14:textId="77777777" w:rsidR="00831D24" w:rsidRDefault="00831D24"/>
    <w:p w14:paraId="512C02D5" w14:textId="77777777" w:rsidR="00831D24" w:rsidRDefault="00831D24"/>
    <w:p w14:paraId="20758058" w14:textId="77777777" w:rsidR="00831D24" w:rsidRDefault="00831D24"/>
    <w:p w14:paraId="56C97713" w14:textId="77777777" w:rsidR="00831D24" w:rsidRDefault="00831D24"/>
    <w:p w14:paraId="09E9FC35" w14:textId="77777777" w:rsidR="00831D24" w:rsidRDefault="00831D24"/>
    <w:p w14:paraId="707D2ABC" w14:textId="77777777" w:rsidR="00831D24" w:rsidRDefault="00831D24"/>
    <w:p w14:paraId="0CDD51F4" w14:textId="77777777" w:rsidR="00831D24" w:rsidRDefault="00831D24"/>
    <w:p w14:paraId="219DC799" w14:textId="77777777" w:rsidR="00831D24" w:rsidRDefault="00831D24"/>
    <w:p w14:paraId="3CFEF6C6" w14:textId="77777777" w:rsidR="00831D24" w:rsidRDefault="00831D24"/>
    <w:p w14:paraId="1C4DDAA1" w14:textId="77777777" w:rsidR="00831D24" w:rsidRDefault="00831D24"/>
    <w:p w14:paraId="71C91E03" w14:textId="77777777" w:rsidR="00901EB5" w:rsidRPr="00831D24" w:rsidRDefault="00C07FA3">
      <w:pPr>
        <w:sectPr w:rsidR="00901EB5" w:rsidRPr="00831D24">
          <w:type w:val="continuous"/>
          <w:pgSz w:w="10800" w:h="15600"/>
          <w:pgMar w:top="474" w:right="365" w:bottom="0" w:left="478" w:header="720" w:footer="720" w:gutter="0"/>
          <w:cols w:space="708"/>
        </w:sectPr>
      </w:pPr>
      <w:r w:rsidRPr="00831D24">
        <w:rPr>
          <w:noProof/>
        </w:rPr>
        <mc:AlternateContent>
          <mc:Choice Requires="wps">
            <w:drawing>
              <wp:anchor distT="0" distB="0" distL="114300" distR="114300" simplePos="0" relativeHeight="251676160" behindDoc="0" locked="0" layoutInCell="1" allowOverlap="1" wp14:anchorId="691D8B0C" wp14:editId="2D6C4292">
                <wp:simplePos x="0" y="0"/>
                <wp:positionH relativeFrom="column">
                  <wp:posOffset>4632325</wp:posOffset>
                </wp:positionH>
                <wp:positionV relativeFrom="paragraph">
                  <wp:posOffset>256963</wp:posOffset>
                </wp:positionV>
                <wp:extent cx="1828800" cy="330200"/>
                <wp:effectExtent l="0" t="0" r="0" b="0"/>
                <wp:wrapNone/>
                <wp:docPr id="64" name="Text Box 64"/>
                <wp:cNvGraphicFramePr/>
                <a:graphic xmlns:a="http://schemas.openxmlformats.org/drawingml/2006/main">
                  <a:graphicData uri="http://schemas.microsoft.com/office/word/2010/wordprocessingShape">
                    <wps:wsp>
                      <wps:cNvSpPr txBox="1"/>
                      <wps:spPr>
                        <a:xfrm>
                          <a:off x="0" y="0"/>
                          <a:ext cx="1828800" cy="330200"/>
                        </a:xfrm>
                        <a:prstGeom prst="rect">
                          <a:avLst/>
                        </a:prstGeom>
                        <a:noFill/>
                        <a:ln w="6350">
                          <a:noFill/>
                        </a:ln>
                      </wps:spPr>
                      <wps:txbx>
                        <w:txbxContent>
                          <w:p w14:paraId="3F38AFEA" w14:textId="77777777" w:rsidR="00062D14" w:rsidRPr="00603CBE" w:rsidRDefault="00062D14">
                            <w:pPr>
                              <w:rPr>
                                <w:color w:val="FFFFFF" w:themeColor="background1"/>
                              </w:rPr>
                            </w:pPr>
                            <w:r w:rsidRPr="00603CBE">
                              <w:rPr>
                                <w:color w:val="FFFFFF" w:themeColor="background1"/>
                              </w:rPr>
                              <w:t>Leadership Team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1D8B0C" id="Text Box 64" o:spid="_x0000_s1031" type="#_x0000_t202" style="position:absolute;margin-left:364.75pt;margin-top:20.25pt;width:2in;height:26pt;z-index:251676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" filled="f" stroked="f" strokeweight=".5pt">
                <v:textbox>
                  <w:txbxContent>
                    <w:p w14:paraId="3F38AFEA" w14:textId="77777777" w:rsidR="00062D14" w:rsidRPr="00603CBE" w:rsidRDefault="00062D14">
                      <w:pPr>
                        <w:rPr>
                          <w:color w:val="FFFFFF" w:themeColor="background1"/>
                        </w:rPr>
                      </w:pPr>
                      <w:r w:rsidRPr="00603CBE">
                        <w:rPr>
                          <w:color w:val="FFFFFF" w:themeColor="background1"/>
                        </w:rPr>
                        <w:t>Leadership Team</w:t>
                      </w:r>
                    </w:p>
                  </w:txbxContent>
                </v:textbox>
              </v:shape>
            </w:pict>
          </mc:Fallback>
        </mc:AlternateContent>
      </w:r>
    </w:p>
    <w:p w14:paraId="4B915CE3" w14:textId="77777777" w:rsidR="00901EB5" w:rsidRPr="00831D24" w:rsidRDefault="00785810" w:rsidP="00C07FA3">
      <w:pPr>
        <w:ind w:right="-20"/>
        <w:rPr>
          <w:rFonts w:ascii="Calibri" w:eastAsia="Calibri" w:hAnsi="Calibri" w:cs="Calibri"/>
          <w:b/>
          <w:bCs/>
          <w:color w:val="FFFFFF"/>
        </w:rPr>
        <w:sectPr w:rsidR="00901EB5" w:rsidRPr="00831D24">
          <w:type w:val="continuous"/>
          <w:pgSz w:w="10800" w:h="15600"/>
          <w:pgMar w:top="474" w:right="365" w:bottom="0" w:left="478" w:header="720" w:footer="720" w:gutter="0"/>
          <w:cols w:num="2" w:space="708" w:equalWidth="0">
            <w:col w:w="5942" w:space="776"/>
            <w:col w:w="3236" w:space="0"/>
          </w:cols>
        </w:sectPr>
      </w:pPr>
      <w:r w:rsidRPr="00831D24">
        <w:rPr>
          <w:noProof/>
        </w:rPr>
        <mc:AlternateContent>
          <mc:Choice Requires="wps">
            <w:drawing>
              <wp:anchor distT="0" distB="0" distL="0" distR="0" simplePos="0" relativeHeight="251664896" behindDoc="1" locked="0" layoutInCell="0" allowOverlap="1" wp14:anchorId="2D42B481" wp14:editId="73138E0E">
                <wp:simplePos x="0" y="0"/>
                <wp:positionH relativeFrom="page">
                  <wp:posOffset>4570730</wp:posOffset>
                </wp:positionH>
                <wp:positionV relativeFrom="paragraph">
                  <wp:posOffset>132080</wp:posOffset>
                </wp:positionV>
                <wp:extent cx="2051999" cy="205648"/>
                <wp:effectExtent l="0" t="0" r="5715" b="0"/>
                <wp:wrapNone/>
                <wp:docPr id="10" name="drawingObject10"/>
                <wp:cNvGraphicFramePr/>
                <a:graphic xmlns:a="http://schemas.openxmlformats.org/drawingml/2006/main">
                  <a:graphicData uri="http://schemas.microsoft.com/office/word/2010/wordprocessingShape">
                    <wps:wsp>
                      <wps:cNvSpPr/>
                      <wps:spPr>
                        <a:xfrm>
                          <a:off x="0" y="0"/>
                          <a:ext cx="2051999" cy="205648"/>
                        </a:xfrm>
                        <a:custGeom>
                          <a:avLst/>
                          <a:gdLst/>
                          <a:ahLst/>
                          <a:cxnLst/>
                          <a:rect l="0" t="0" r="0" b="0"/>
                          <a:pathLst>
                            <a:path w="2051999" h="205648">
                              <a:moveTo>
                                <a:pt x="0" y="0"/>
                              </a:moveTo>
                              <a:lnTo>
                                <a:pt x="0" y="205648"/>
                              </a:lnTo>
                              <a:lnTo>
                                <a:pt x="2051999" y="205648"/>
                              </a:lnTo>
                              <a:lnTo>
                                <a:pt x="2051999" y="0"/>
                              </a:lnTo>
                              <a:lnTo>
                                <a:pt x="0" y="0"/>
                              </a:lnTo>
                            </a:path>
                          </a:pathLst>
                        </a:custGeom>
                        <a:solidFill>
                          <a:srgbClr val="44546A"/>
                        </a:solidFill>
                      </wps:spPr>
                      <wps:bodyPr vertOverflow="overflow" horzOverflow="overflow" vert="horz" lIns="91440" tIns="45720" rIns="91440" bIns="45720" anchor="t"/>
                    </wps:wsp>
                  </a:graphicData>
                </a:graphic>
              </wp:anchor>
            </w:drawing>
          </mc:Choice>
          <mc:Fallback>
            <w:pict>
              <v:shape w14:anchorId="0180092B" id="drawingObject10" o:spid="_x0000_s1026" style="position:absolute;margin-left:359.9pt;margin-top:10.4pt;width:161.55pt;height:16.2pt;z-index:-251651584;visibility:visible;mso-wrap-style:square;mso-wrap-distance-left:0;mso-wrap-distance-top:0;mso-wrap-distance-right:0;mso-wrap-distance-bottom:0;mso-position-horizontal:absolute;mso-position-horizontal-relative:page;mso-position-vertical:absolute;mso-position-vertical-relative:text;v-text-anchor:top" coordsize="2051999,205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" o:allowincell="f" path="m,l,205648r2051999,l2051999,,,e" fillcolor="#44546a" stroked="f">
                <v:path arrowok="t" textboxrect="0,0,2051999,205648"/>
                <w10:wrap anchorx="page"/>
              </v:shape>
            </w:pict>
          </mc:Fallback>
        </mc:AlternateContent>
      </w:r>
    </w:p>
    <w:p w14:paraId="22A55DCA" w14:textId="77777777" w:rsidR="00901EB5" w:rsidRPr="00831D24" w:rsidRDefault="00021665">
      <w:pPr>
        <w:sectPr w:rsidR="00901EB5" w:rsidRPr="00831D24">
          <w:type w:val="continuous"/>
          <w:pgSz w:w="10800" w:h="15600"/>
          <w:pgMar w:top="474" w:right="365" w:bottom="0" w:left="478" w:header="720" w:footer="720" w:gutter="0"/>
          <w:cols w:space="708"/>
        </w:sectPr>
      </w:pPr>
      <w:r>
        <w:rPr>
          <w:noProof/>
        </w:rPr>
        <mc:AlternateContent>
          <mc:Choice Requires="wps">
            <w:drawing>
              <wp:anchor distT="0" distB="0" distL="114300" distR="114300" simplePos="0" relativeHeight="251742720" behindDoc="0" locked="0" layoutInCell="1" allowOverlap="1" wp14:anchorId="503D9D14" wp14:editId="66BFFAFB">
                <wp:simplePos x="0" y="0"/>
                <wp:positionH relativeFrom="column">
                  <wp:posOffset>89535</wp:posOffset>
                </wp:positionH>
                <wp:positionV relativeFrom="paragraph">
                  <wp:posOffset>154305</wp:posOffset>
                </wp:positionV>
                <wp:extent cx="4108450" cy="4676140"/>
                <wp:effectExtent l="0" t="0" r="6350" b="0"/>
                <wp:wrapNone/>
                <wp:docPr id="115" name="Text Box 115"/>
                <wp:cNvGraphicFramePr/>
                <a:graphic xmlns:a="http://schemas.openxmlformats.org/drawingml/2006/main">
                  <a:graphicData uri="http://schemas.microsoft.com/office/word/2010/wordprocessingShape">
                    <wps:wsp>
                      <wps:cNvSpPr txBox="1"/>
                      <wps:spPr>
                        <a:xfrm>
                          <a:off x="0" y="0"/>
                          <a:ext cx="4108450" cy="4676140"/>
                        </a:xfrm>
                        <a:prstGeom prst="rect">
                          <a:avLst/>
                        </a:prstGeom>
                        <a:solidFill>
                          <a:schemeClr val="lt1"/>
                        </a:solidFill>
                        <a:ln w="6350">
                          <a:noFill/>
                        </a:ln>
                      </wps:spPr>
                      <wps:txbx>
                        <w:txbxContent>
                          <w:p w14:paraId="275BD01E" w14:textId="77777777" w:rsidR="00062D14" w:rsidRPr="00831D24" w:rsidRDefault="00062D14" w:rsidP="00C74465">
                            <w:pPr>
                              <w:ind w:right="-20"/>
                              <w:rPr>
                                <w:rFonts w:ascii="Calibri" w:eastAsia="Calibri" w:hAnsi="Calibri" w:cs="Calibri"/>
                                <w:color w:val="000000"/>
                                <w:u w:val="single"/>
                              </w:rPr>
                            </w:pPr>
                            <w:r w:rsidRPr="00831D24">
                              <w:rPr>
                                <w:rFonts w:ascii="Calibri" w:eastAsia="Calibri" w:hAnsi="Calibri" w:cs="Calibri"/>
                                <w:color w:val="000000"/>
                                <w:u w:val="single"/>
                              </w:rPr>
                              <w:t>Management &amp; Governance</w:t>
                            </w:r>
                          </w:p>
                          <w:p w14:paraId="084BCA52" w14:textId="77777777" w:rsidR="00062D14" w:rsidRPr="00831D24" w:rsidRDefault="00062D14" w:rsidP="00C74465">
                            <w:pPr>
                              <w:spacing w:after="66" w:line="240" w:lineRule="exact"/>
                              <w:rPr>
                                <w:rFonts w:ascii="Calibri" w:eastAsia="Calibri" w:hAnsi="Calibri" w:cs="Calibri"/>
                              </w:rPr>
                            </w:pPr>
                          </w:p>
                          <w:p w14:paraId="5E9D60D6" w14:textId="77777777" w:rsidR="00062D14" w:rsidRDefault="00062D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03D9D14" id="Text Box 115" o:spid="_x0000_s1032" type="#_x0000_t202" style="position:absolute;margin-left:7.05pt;margin-top:12.15pt;width:323.5pt;height:368.2pt;z-index:251742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" fillcolor="white [3201]" stroked="f" strokeweight=".5pt">
                <v:textbox>
                  <w:txbxContent>
                    <w:p w14:paraId="275BD01E" w14:textId="77777777" w:rsidR="00062D14" w:rsidRPr="00831D24" w:rsidRDefault="00062D14" w:rsidP="00C74465">
                      <w:pPr>
                        <w:ind w:right="-20"/>
                        <w:rPr>
                          <w:rFonts w:ascii="Calibri" w:eastAsia="Calibri" w:hAnsi="Calibri" w:cs="Calibri"/>
                          <w:color w:val="000000"/>
                          <w:u w:val="single"/>
                        </w:rPr>
                      </w:pPr>
                      <w:r w:rsidRPr="00831D24">
                        <w:rPr>
                          <w:rFonts w:ascii="Calibri" w:eastAsia="Calibri" w:hAnsi="Calibri" w:cs="Calibri"/>
                          <w:color w:val="000000"/>
                          <w:u w:val="single"/>
                        </w:rPr>
                        <w:t>Management &amp; Governance</w:t>
                      </w:r>
                    </w:p>
                    <w:p w14:paraId="084BCA52" w14:textId="77777777" w:rsidR="00062D14" w:rsidRPr="00831D24" w:rsidRDefault="00062D14" w:rsidP="00C74465">
                      <w:pPr>
                        <w:spacing w:after="66" w:line="240" w:lineRule="exact"/>
                        <w:rPr>
                          <w:rFonts w:ascii="Calibri" w:eastAsia="Calibri" w:hAnsi="Calibri" w:cs="Calibri"/>
                        </w:rPr>
                      </w:pPr>
                    </w:p>
                    <w:p w14:paraId="5E9D60D6" w14:textId="77777777" w:rsidR="00062D14" w:rsidRDefault="00062D14"/>
                  </w:txbxContent>
                </v:textbox>
              </v:shape>
            </w:pict>
          </mc:Fallback>
        </mc:AlternateContent>
      </w:r>
      <w:r w:rsidR="00C07FA3" w:rsidRPr="00831D24">
        <w:rPr>
          <w:rFonts w:ascii="Calibri" w:eastAsia="Calibri" w:hAnsi="Calibri" w:cs="Calibri"/>
          <w:b/>
          <w:bCs/>
          <w:noProof/>
          <w:color w:val="FFFFFF"/>
        </w:rPr>
        <mc:AlternateContent>
          <mc:Choice Requires="wps">
            <w:drawing>
              <wp:anchor distT="0" distB="0" distL="114300" distR="114300" simplePos="0" relativeHeight="251671040" behindDoc="0" locked="0" layoutInCell="1" allowOverlap="1" wp14:anchorId="6E0C4C8B" wp14:editId="68E156C5">
                <wp:simplePos x="0" y="0"/>
                <wp:positionH relativeFrom="column">
                  <wp:posOffset>4269740</wp:posOffset>
                </wp:positionH>
                <wp:positionV relativeFrom="paragraph">
                  <wp:posOffset>187325</wp:posOffset>
                </wp:positionV>
                <wp:extent cx="2051685" cy="2655570"/>
                <wp:effectExtent l="0" t="0" r="5715" b="0"/>
                <wp:wrapNone/>
                <wp:docPr id="58" name="Text Box 58"/>
                <wp:cNvGraphicFramePr/>
                <a:graphic xmlns:a="http://schemas.openxmlformats.org/drawingml/2006/main">
                  <a:graphicData uri="http://schemas.microsoft.com/office/word/2010/wordprocessingShape">
                    <wps:wsp>
                      <wps:cNvSpPr txBox="1"/>
                      <wps:spPr>
                        <a:xfrm>
                          <a:off x="0" y="0"/>
                          <a:ext cx="2051685" cy="2655570"/>
                        </a:xfrm>
                        <a:prstGeom prst="rect">
                          <a:avLst/>
                        </a:prstGeom>
                        <a:solidFill>
                          <a:schemeClr val="lt1"/>
                        </a:solidFill>
                        <a:ln w="6350">
                          <a:noFill/>
                        </a:ln>
                      </wps:spPr>
                      <wps:txbx>
                        <w:txbxContent>
                          <w:p w14:paraId="423C3CF8" w14:textId="77777777" w:rsidR="00062D14" w:rsidRDefault="00062D14" w:rsidP="00CB4E36">
                            <w:pPr>
                              <w:rPr>
                                <w:sz w:val="22"/>
                                <w:szCs w:val="22"/>
                              </w:rPr>
                            </w:pPr>
                            <w:r w:rsidRPr="00CB4E36">
                              <w:rPr>
                                <w:sz w:val="22"/>
                                <w:szCs w:val="22"/>
                              </w:rPr>
                              <w:t>Director</w:t>
                            </w:r>
                            <w:r>
                              <w:rPr>
                                <w:sz w:val="22"/>
                                <w:szCs w:val="22"/>
                              </w:rPr>
                              <w:t xml:space="preserve">: </w:t>
                            </w:r>
                          </w:p>
                          <w:p w14:paraId="1BFBCC30" w14:textId="77777777" w:rsidR="00062D14" w:rsidRPr="00CB4E36" w:rsidRDefault="00062D14" w:rsidP="00CB4E36">
                            <w:pPr>
                              <w:rPr>
                                <w:sz w:val="22"/>
                                <w:szCs w:val="22"/>
                              </w:rPr>
                            </w:pPr>
                            <w:r w:rsidRPr="00CB4E36">
                              <w:rPr>
                                <w:sz w:val="22"/>
                                <w:szCs w:val="22"/>
                              </w:rPr>
                              <w:t xml:space="preserve">Richard Moffit  </w:t>
                            </w:r>
                          </w:p>
                          <w:p w14:paraId="25D51BF7" w14:textId="77777777" w:rsidR="00062D14" w:rsidRPr="00CB4E36" w:rsidRDefault="00062D14">
                            <w:pPr>
                              <w:rPr>
                                <w:sz w:val="22"/>
                                <w:szCs w:val="22"/>
                              </w:rPr>
                            </w:pPr>
                          </w:p>
                          <w:p w14:paraId="7B9E93FD" w14:textId="77777777" w:rsidR="00062D14" w:rsidRDefault="00062D14" w:rsidP="00CB4E36">
                            <w:pPr>
                              <w:rPr>
                                <w:sz w:val="22"/>
                                <w:szCs w:val="22"/>
                              </w:rPr>
                            </w:pPr>
                            <w:r w:rsidRPr="00CB4E36">
                              <w:rPr>
                                <w:sz w:val="22"/>
                                <w:szCs w:val="22"/>
                              </w:rPr>
                              <w:t>Director</w:t>
                            </w:r>
                            <w:r>
                              <w:rPr>
                                <w:sz w:val="22"/>
                                <w:szCs w:val="22"/>
                              </w:rPr>
                              <w:t>:</w:t>
                            </w:r>
                            <w:r w:rsidRPr="00CB4E36">
                              <w:rPr>
                                <w:sz w:val="22"/>
                                <w:szCs w:val="22"/>
                              </w:rPr>
                              <w:t xml:space="preserve"> </w:t>
                            </w:r>
                          </w:p>
                          <w:p w14:paraId="0DA05922" w14:textId="77777777" w:rsidR="00062D14" w:rsidRPr="00CB4E36" w:rsidRDefault="00062D14" w:rsidP="00CB4E36">
                            <w:pPr>
                              <w:rPr>
                                <w:sz w:val="22"/>
                                <w:szCs w:val="22"/>
                              </w:rPr>
                            </w:pPr>
                            <w:r w:rsidRPr="00CB4E36">
                              <w:rPr>
                                <w:sz w:val="22"/>
                                <w:szCs w:val="22"/>
                              </w:rPr>
                              <w:t>Mark Johnson</w:t>
                            </w:r>
                          </w:p>
                          <w:p w14:paraId="5B882985" w14:textId="77777777" w:rsidR="00062D14" w:rsidRPr="00CB4E36" w:rsidRDefault="00062D14">
                            <w:pPr>
                              <w:rPr>
                                <w:sz w:val="22"/>
                                <w:szCs w:val="22"/>
                              </w:rPr>
                            </w:pPr>
                          </w:p>
                          <w:p w14:paraId="11ADA7B0" w14:textId="77777777" w:rsidR="00062D14" w:rsidRPr="00CB4E36" w:rsidRDefault="00062D14" w:rsidP="00CB4E36">
                            <w:pPr>
                              <w:rPr>
                                <w:sz w:val="22"/>
                                <w:szCs w:val="22"/>
                              </w:rPr>
                            </w:pPr>
                            <w:r w:rsidRPr="00CB4E36">
                              <w:rPr>
                                <w:sz w:val="22"/>
                                <w:szCs w:val="22"/>
                              </w:rPr>
                              <w:t>Non-Executive Chairman</w:t>
                            </w:r>
                            <w:r>
                              <w:rPr>
                                <w:sz w:val="22"/>
                                <w:szCs w:val="22"/>
                              </w:rPr>
                              <w:t>:</w:t>
                            </w:r>
                          </w:p>
                          <w:p w14:paraId="4E06D2A5" w14:textId="77777777" w:rsidR="00062D14" w:rsidRDefault="00062D14">
                            <w:pPr>
                              <w:rPr>
                                <w:sz w:val="22"/>
                                <w:szCs w:val="22"/>
                              </w:rPr>
                            </w:pPr>
                            <w:r w:rsidRPr="00CB4E36">
                              <w:rPr>
                                <w:sz w:val="22"/>
                                <w:szCs w:val="22"/>
                              </w:rPr>
                              <w:t>Nigel Rich CBE</w:t>
                            </w:r>
                          </w:p>
                          <w:p w14:paraId="76CBD742" w14:textId="77777777" w:rsidR="00062D14" w:rsidRPr="00CB4E36" w:rsidRDefault="00062D14">
                            <w:pPr>
                              <w:rPr>
                                <w:sz w:val="22"/>
                                <w:szCs w:val="22"/>
                              </w:rPr>
                            </w:pPr>
                          </w:p>
                          <w:p w14:paraId="050DFE95" w14:textId="77777777" w:rsidR="00062D14" w:rsidRPr="00CB4E36" w:rsidRDefault="00062D14">
                            <w:pPr>
                              <w:rPr>
                                <w:sz w:val="22"/>
                                <w:szCs w:val="22"/>
                              </w:rPr>
                            </w:pPr>
                            <w:r w:rsidRPr="00CB4E36">
                              <w:rPr>
                                <w:sz w:val="22"/>
                                <w:szCs w:val="22"/>
                              </w:rPr>
                              <w:t>Non-Executive Director</w:t>
                            </w:r>
                            <w:r>
                              <w:rPr>
                                <w:sz w:val="22"/>
                                <w:szCs w:val="22"/>
                              </w:rPr>
                              <w:t>:</w:t>
                            </w:r>
                          </w:p>
                          <w:p w14:paraId="04EC5A7F" w14:textId="77777777" w:rsidR="00062D14" w:rsidRPr="00CB4E36" w:rsidRDefault="00062D14">
                            <w:pPr>
                              <w:rPr>
                                <w:sz w:val="22"/>
                                <w:szCs w:val="22"/>
                              </w:rPr>
                            </w:pPr>
                            <w:r w:rsidRPr="00CB4E36">
                              <w:rPr>
                                <w:sz w:val="22"/>
                                <w:szCs w:val="22"/>
                              </w:rPr>
                              <w:t xml:space="preserve">Jonathan Gray </w:t>
                            </w:r>
                          </w:p>
                          <w:p w14:paraId="7A586EBC" w14:textId="77777777" w:rsidR="00062D14" w:rsidRPr="00CB4E36" w:rsidRDefault="00062D14">
                            <w:pPr>
                              <w:rPr>
                                <w:sz w:val="22"/>
                                <w:szCs w:val="22"/>
                              </w:rPr>
                            </w:pPr>
                          </w:p>
                          <w:p w14:paraId="2D9D0FC5" w14:textId="77777777" w:rsidR="00062D14" w:rsidRPr="00CB4E36" w:rsidRDefault="00062D14">
                            <w:pPr>
                              <w:rPr>
                                <w:sz w:val="22"/>
                                <w:szCs w:val="22"/>
                              </w:rPr>
                            </w:pPr>
                            <w:r w:rsidRPr="00CB4E36">
                              <w:rPr>
                                <w:sz w:val="22"/>
                                <w:szCs w:val="22"/>
                              </w:rPr>
                              <w:t>Non-Executive Director</w:t>
                            </w:r>
                            <w:r>
                              <w:rPr>
                                <w:sz w:val="22"/>
                                <w:szCs w:val="22"/>
                              </w:rPr>
                              <w:t>:</w:t>
                            </w:r>
                          </w:p>
                          <w:p w14:paraId="7D72BA93" w14:textId="77777777" w:rsidR="00062D14" w:rsidRPr="00CB4E36" w:rsidRDefault="00062D14">
                            <w:pPr>
                              <w:rPr>
                                <w:sz w:val="22"/>
                                <w:szCs w:val="22"/>
                              </w:rPr>
                            </w:pPr>
                            <w:r w:rsidRPr="00CB4E36">
                              <w:rPr>
                                <w:sz w:val="22"/>
                                <w:szCs w:val="22"/>
                              </w:rPr>
                              <w:t>Bruce Anderson</w:t>
                            </w:r>
                          </w:p>
                          <w:p w14:paraId="356C9A94" w14:textId="77777777" w:rsidR="00062D14" w:rsidRDefault="00062D14">
                            <w:r>
                              <w:t xml:space="preserve"> </w:t>
                            </w:r>
                          </w:p>
                          <w:p w14:paraId="2272FF4D" w14:textId="77777777" w:rsidR="00062D14" w:rsidRDefault="00062D14"/>
                          <w:p w14:paraId="30B8F727" w14:textId="77777777" w:rsidR="00062D14" w:rsidRDefault="00062D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0C4C8B" id="Text Box 58" o:spid="_x0000_s1033" type="#_x0000_t202" style="position:absolute;margin-left:336.2pt;margin-top:14.75pt;width:161.55pt;height:209.1pt;z-index:251671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" fillcolor="white [3201]" stroked="f" strokeweight=".5pt">
                <v:textbox>
                  <w:txbxContent>
                    <w:p w14:paraId="423C3CF8" w14:textId="77777777" w:rsidR="00062D14" w:rsidRDefault="00062D14" w:rsidP="00CB4E36">
                      <w:pPr>
                        <w:rPr>
                          <w:sz w:val="22"/>
                          <w:szCs w:val="22"/>
                        </w:rPr>
                      </w:pPr>
                      <w:r w:rsidRPr="00CB4E36">
                        <w:rPr>
                          <w:sz w:val="22"/>
                          <w:szCs w:val="22"/>
                        </w:rPr>
                        <w:t>Director</w:t>
                      </w:r>
                      <w:r>
                        <w:rPr>
                          <w:sz w:val="22"/>
                          <w:szCs w:val="22"/>
                        </w:rPr>
                        <w:t xml:space="preserve">: </w:t>
                      </w:r>
                    </w:p>
                    <w:p w14:paraId="1BFBCC30" w14:textId="77777777" w:rsidR="00062D14" w:rsidRPr="00CB4E36" w:rsidRDefault="00062D14" w:rsidP="00CB4E36">
                      <w:pPr>
                        <w:rPr>
                          <w:sz w:val="22"/>
                          <w:szCs w:val="22"/>
                        </w:rPr>
                      </w:pPr>
                      <w:r w:rsidRPr="00CB4E36">
                        <w:rPr>
                          <w:sz w:val="22"/>
                          <w:szCs w:val="22"/>
                        </w:rPr>
                        <w:t xml:space="preserve">Richard Moffit  </w:t>
                      </w:r>
                    </w:p>
                    <w:p w14:paraId="25D51BF7" w14:textId="77777777" w:rsidR="00062D14" w:rsidRPr="00CB4E36" w:rsidRDefault="00062D14">
                      <w:pPr>
                        <w:rPr>
                          <w:sz w:val="22"/>
                          <w:szCs w:val="22"/>
                        </w:rPr>
                      </w:pPr>
                    </w:p>
                    <w:p w14:paraId="7B9E93FD" w14:textId="77777777" w:rsidR="00062D14" w:rsidRDefault="00062D14" w:rsidP="00CB4E36">
                      <w:pPr>
                        <w:rPr>
                          <w:sz w:val="22"/>
                          <w:szCs w:val="22"/>
                        </w:rPr>
                      </w:pPr>
                      <w:r w:rsidRPr="00CB4E36">
                        <w:rPr>
                          <w:sz w:val="22"/>
                          <w:szCs w:val="22"/>
                        </w:rPr>
                        <w:t>Director</w:t>
                      </w:r>
                      <w:r>
                        <w:rPr>
                          <w:sz w:val="22"/>
                          <w:szCs w:val="22"/>
                        </w:rPr>
                        <w:t>:</w:t>
                      </w:r>
                      <w:r w:rsidRPr="00CB4E36">
                        <w:rPr>
                          <w:sz w:val="22"/>
                          <w:szCs w:val="22"/>
                        </w:rPr>
                        <w:t xml:space="preserve"> </w:t>
                      </w:r>
                    </w:p>
                    <w:p w14:paraId="0DA05922" w14:textId="77777777" w:rsidR="00062D14" w:rsidRPr="00CB4E36" w:rsidRDefault="00062D14" w:rsidP="00CB4E36">
                      <w:pPr>
                        <w:rPr>
                          <w:sz w:val="22"/>
                          <w:szCs w:val="22"/>
                        </w:rPr>
                      </w:pPr>
                      <w:r w:rsidRPr="00CB4E36">
                        <w:rPr>
                          <w:sz w:val="22"/>
                          <w:szCs w:val="22"/>
                        </w:rPr>
                        <w:t>Mark Johnson</w:t>
                      </w:r>
                    </w:p>
                    <w:p w14:paraId="5B882985" w14:textId="77777777" w:rsidR="00062D14" w:rsidRPr="00CB4E36" w:rsidRDefault="00062D14">
                      <w:pPr>
                        <w:rPr>
                          <w:sz w:val="22"/>
                          <w:szCs w:val="22"/>
                        </w:rPr>
                      </w:pPr>
                    </w:p>
                    <w:p w14:paraId="11ADA7B0" w14:textId="77777777" w:rsidR="00062D14" w:rsidRPr="00CB4E36" w:rsidRDefault="00062D14" w:rsidP="00CB4E36">
                      <w:pPr>
                        <w:rPr>
                          <w:sz w:val="22"/>
                          <w:szCs w:val="22"/>
                        </w:rPr>
                      </w:pPr>
                      <w:r w:rsidRPr="00CB4E36">
                        <w:rPr>
                          <w:sz w:val="22"/>
                          <w:szCs w:val="22"/>
                        </w:rPr>
                        <w:t>Non-Executive Chairman</w:t>
                      </w:r>
                      <w:r>
                        <w:rPr>
                          <w:sz w:val="22"/>
                          <w:szCs w:val="22"/>
                        </w:rPr>
                        <w:t>:</w:t>
                      </w:r>
                    </w:p>
                    <w:p w14:paraId="4E06D2A5" w14:textId="77777777" w:rsidR="00062D14" w:rsidRDefault="00062D14">
                      <w:pPr>
                        <w:rPr>
                          <w:sz w:val="22"/>
                          <w:szCs w:val="22"/>
                        </w:rPr>
                      </w:pPr>
                      <w:r w:rsidRPr="00CB4E36">
                        <w:rPr>
                          <w:sz w:val="22"/>
                          <w:szCs w:val="22"/>
                        </w:rPr>
                        <w:t>Nigel Rich CBE</w:t>
                      </w:r>
                    </w:p>
                    <w:p w14:paraId="76CBD742" w14:textId="77777777" w:rsidR="00062D14" w:rsidRPr="00CB4E36" w:rsidRDefault="00062D14">
                      <w:pPr>
                        <w:rPr>
                          <w:sz w:val="22"/>
                          <w:szCs w:val="22"/>
                        </w:rPr>
                      </w:pPr>
                    </w:p>
                    <w:p w14:paraId="050DFE95" w14:textId="77777777" w:rsidR="00062D14" w:rsidRPr="00CB4E36" w:rsidRDefault="00062D14">
                      <w:pPr>
                        <w:rPr>
                          <w:sz w:val="22"/>
                          <w:szCs w:val="22"/>
                        </w:rPr>
                      </w:pPr>
                      <w:r w:rsidRPr="00CB4E36">
                        <w:rPr>
                          <w:sz w:val="22"/>
                          <w:szCs w:val="22"/>
                        </w:rPr>
                        <w:t>Non-Executive Director</w:t>
                      </w:r>
                      <w:r>
                        <w:rPr>
                          <w:sz w:val="22"/>
                          <w:szCs w:val="22"/>
                        </w:rPr>
                        <w:t>:</w:t>
                      </w:r>
                    </w:p>
                    <w:p w14:paraId="04EC5A7F" w14:textId="77777777" w:rsidR="00062D14" w:rsidRPr="00CB4E36" w:rsidRDefault="00062D14">
                      <w:pPr>
                        <w:rPr>
                          <w:sz w:val="22"/>
                          <w:szCs w:val="22"/>
                        </w:rPr>
                      </w:pPr>
                      <w:r w:rsidRPr="00CB4E36">
                        <w:rPr>
                          <w:sz w:val="22"/>
                          <w:szCs w:val="22"/>
                        </w:rPr>
                        <w:t xml:space="preserve">Jonathan Gray </w:t>
                      </w:r>
                    </w:p>
                    <w:p w14:paraId="7A586EBC" w14:textId="77777777" w:rsidR="00062D14" w:rsidRPr="00CB4E36" w:rsidRDefault="00062D14">
                      <w:pPr>
                        <w:rPr>
                          <w:sz w:val="22"/>
                          <w:szCs w:val="22"/>
                        </w:rPr>
                      </w:pPr>
                    </w:p>
                    <w:p w14:paraId="2D9D0FC5" w14:textId="77777777" w:rsidR="00062D14" w:rsidRPr="00CB4E36" w:rsidRDefault="00062D14">
                      <w:pPr>
                        <w:rPr>
                          <w:sz w:val="22"/>
                          <w:szCs w:val="22"/>
                        </w:rPr>
                      </w:pPr>
                      <w:r w:rsidRPr="00CB4E36">
                        <w:rPr>
                          <w:sz w:val="22"/>
                          <w:szCs w:val="22"/>
                        </w:rPr>
                        <w:t>Non-Executive Director</w:t>
                      </w:r>
                      <w:r>
                        <w:rPr>
                          <w:sz w:val="22"/>
                          <w:szCs w:val="22"/>
                        </w:rPr>
                        <w:t>:</w:t>
                      </w:r>
                    </w:p>
                    <w:p w14:paraId="7D72BA93" w14:textId="77777777" w:rsidR="00062D14" w:rsidRPr="00CB4E36" w:rsidRDefault="00062D14">
                      <w:pPr>
                        <w:rPr>
                          <w:sz w:val="22"/>
                          <w:szCs w:val="22"/>
                        </w:rPr>
                      </w:pPr>
                      <w:r w:rsidRPr="00CB4E36">
                        <w:rPr>
                          <w:sz w:val="22"/>
                          <w:szCs w:val="22"/>
                        </w:rPr>
                        <w:t>Bruce Anderson</w:t>
                      </w:r>
                    </w:p>
                    <w:p w14:paraId="356C9A94" w14:textId="77777777" w:rsidR="00062D14" w:rsidRDefault="00062D14">
                      <w:r>
                        <w:t xml:space="preserve"> </w:t>
                      </w:r>
                    </w:p>
                    <w:p w14:paraId="2272FF4D" w14:textId="77777777" w:rsidR="00062D14" w:rsidRDefault="00062D14"/>
                    <w:p w14:paraId="30B8F727" w14:textId="77777777" w:rsidR="00062D14" w:rsidRDefault="00062D14"/>
                  </w:txbxContent>
                </v:textbox>
              </v:shape>
            </w:pict>
          </mc:Fallback>
        </mc:AlternateContent>
      </w:r>
    </w:p>
    <w:p w14:paraId="3D0BC262" w14:textId="77777777" w:rsidR="00901EB5" w:rsidRDefault="00901EB5">
      <w:pPr>
        <w:spacing w:after="66" w:line="240" w:lineRule="exact"/>
        <w:rPr>
          <w:rFonts w:ascii="Calibri" w:eastAsia="Calibri" w:hAnsi="Calibri" w:cs="Calibri"/>
        </w:rPr>
      </w:pPr>
    </w:p>
    <w:p w14:paraId="072D05B1" w14:textId="77777777" w:rsidR="00CB4E36" w:rsidRDefault="00CB4E36" w:rsidP="00785810">
      <w:pPr>
        <w:spacing w:line="236" w:lineRule="auto"/>
        <w:ind w:left="26" w:right="-20"/>
        <w:rPr>
          <w:rFonts w:ascii="Calibri" w:eastAsia="Calibri" w:hAnsi="Calibri" w:cs="Calibri"/>
          <w:color w:val="000000"/>
          <w:sz w:val="26"/>
          <w:szCs w:val="26"/>
        </w:rPr>
      </w:pPr>
    </w:p>
    <w:p w14:paraId="654013D7" w14:textId="77777777" w:rsidR="00CB4E36" w:rsidRDefault="00CB4E36" w:rsidP="00785810">
      <w:pPr>
        <w:spacing w:line="236" w:lineRule="auto"/>
        <w:ind w:left="26" w:right="-20"/>
        <w:rPr>
          <w:rFonts w:ascii="Calibri" w:eastAsia="Calibri" w:hAnsi="Calibri" w:cs="Calibri"/>
          <w:color w:val="000000"/>
          <w:sz w:val="26"/>
          <w:szCs w:val="26"/>
        </w:rPr>
      </w:pPr>
    </w:p>
    <w:p w14:paraId="66461650" w14:textId="77777777" w:rsidR="00CB4E36" w:rsidRDefault="00CB4E36" w:rsidP="00785810">
      <w:pPr>
        <w:spacing w:line="236" w:lineRule="auto"/>
        <w:ind w:left="26" w:right="-20"/>
        <w:rPr>
          <w:rFonts w:ascii="Calibri" w:eastAsia="Calibri" w:hAnsi="Calibri" w:cs="Calibri"/>
          <w:color w:val="000000"/>
          <w:sz w:val="26"/>
          <w:szCs w:val="26"/>
        </w:rPr>
      </w:pPr>
    </w:p>
    <w:p w14:paraId="29D2FAE4" w14:textId="77777777" w:rsidR="00CB4E36" w:rsidRDefault="00CB4E36" w:rsidP="00785810">
      <w:pPr>
        <w:spacing w:line="236" w:lineRule="auto"/>
        <w:ind w:left="26" w:right="-20"/>
        <w:rPr>
          <w:rFonts w:ascii="Calibri" w:eastAsia="Calibri" w:hAnsi="Calibri" w:cs="Calibri"/>
          <w:color w:val="000000"/>
          <w:sz w:val="26"/>
          <w:szCs w:val="26"/>
        </w:rPr>
      </w:pPr>
    </w:p>
    <w:p w14:paraId="1DEFD206" w14:textId="77777777" w:rsidR="00CB4E36" w:rsidRDefault="00CB4E36" w:rsidP="00785810">
      <w:pPr>
        <w:spacing w:line="236" w:lineRule="auto"/>
        <w:ind w:left="26" w:right="-20"/>
        <w:rPr>
          <w:rFonts w:ascii="Calibri" w:eastAsia="Calibri" w:hAnsi="Calibri" w:cs="Calibri"/>
          <w:color w:val="000000"/>
          <w:sz w:val="26"/>
          <w:szCs w:val="26"/>
        </w:rPr>
      </w:pPr>
    </w:p>
    <w:p w14:paraId="1458F7D0" w14:textId="77777777" w:rsidR="00CB4E36" w:rsidRDefault="00CB4E36" w:rsidP="00785810">
      <w:pPr>
        <w:spacing w:line="236" w:lineRule="auto"/>
        <w:ind w:left="26" w:right="-20"/>
        <w:rPr>
          <w:rFonts w:ascii="Calibri" w:eastAsia="Calibri" w:hAnsi="Calibri" w:cs="Calibri"/>
          <w:color w:val="000000"/>
          <w:sz w:val="26"/>
          <w:szCs w:val="26"/>
        </w:rPr>
      </w:pPr>
    </w:p>
    <w:p w14:paraId="3427B2EA" w14:textId="77777777" w:rsidR="00CB4E36" w:rsidRDefault="00CB4E36" w:rsidP="00785810">
      <w:pPr>
        <w:spacing w:line="236" w:lineRule="auto"/>
        <w:ind w:left="26" w:right="-20"/>
        <w:rPr>
          <w:rFonts w:ascii="Calibri" w:eastAsia="Calibri" w:hAnsi="Calibri" w:cs="Calibri"/>
          <w:color w:val="000000"/>
          <w:sz w:val="26"/>
          <w:szCs w:val="26"/>
        </w:rPr>
      </w:pPr>
    </w:p>
    <w:p w14:paraId="7207985E" w14:textId="77777777" w:rsidR="00CB4E36" w:rsidRDefault="00CB4E36" w:rsidP="00785810">
      <w:pPr>
        <w:spacing w:line="236" w:lineRule="auto"/>
        <w:ind w:left="26" w:right="-20"/>
        <w:rPr>
          <w:rFonts w:ascii="Calibri" w:eastAsia="Calibri" w:hAnsi="Calibri" w:cs="Calibri"/>
          <w:color w:val="000000"/>
          <w:sz w:val="26"/>
          <w:szCs w:val="26"/>
        </w:rPr>
      </w:pPr>
    </w:p>
    <w:p w14:paraId="286D346D" w14:textId="77777777" w:rsidR="00CB4E36" w:rsidRDefault="00CB4E36" w:rsidP="00785810">
      <w:pPr>
        <w:spacing w:line="236" w:lineRule="auto"/>
        <w:ind w:left="26" w:right="-20"/>
        <w:rPr>
          <w:rFonts w:ascii="Calibri" w:eastAsia="Calibri" w:hAnsi="Calibri" w:cs="Calibri"/>
          <w:color w:val="000000"/>
          <w:sz w:val="26"/>
          <w:szCs w:val="26"/>
        </w:rPr>
      </w:pPr>
    </w:p>
    <w:p w14:paraId="00811131" w14:textId="77777777" w:rsidR="00CB4E36" w:rsidRDefault="00CB4E36" w:rsidP="00785810">
      <w:pPr>
        <w:spacing w:line="236" w:lineRule="auto"/>
        <w:ind w:left="26" w:right="-20"/>
        <w:rPr>
          <w:rFonts w:ascii="Calibri" w:eastAsia="Calibri" w:hAnsi="Calibri" w:cs="Calibri"/>
          <w:color w:val="000000"/>
          <w:sz w:val="26"/>
          <w:szCs w:val="26"/>
        </w:rPr>
      </w:pPr>
    </w:p>
    <w:p w14:paraId="727D453D" w14:textId="77777777" w:rsidR="00CB4E36" w:rsidRDefault="00CB4E36" w:rsidP="00785810">
      <w:pPr>
        <w:spacing w:line="236" w:lineRule="auto"/>
        <w:ind w:left="26" w:right="-20"/>
        <w:rPr>
          <w:rFonts w:ascii="Calibri" w:eastAsia="Calibri" w:hAnsi="Calibri" w:cs="Calibri"/>
          <w:color w:val="000000"/>
          <w:sz w:val="26"/>
          <w:szCs w:val="26"/>
        </w:rPr>
      </w:pPr>
    </w:p>
    <w:p w14:paraId="4AD61718" w14:textId="77777777" w:rsidR="00CB4E36" w:rsidRDefault="00CB4E36" w:rsidP="00785810">
      <w:pPr>
        <w:spacing w:line="236" w:lineRule="auto"/>
        <w:ind w:left="26" w:right="-20"/>
        <w:rPr>
          <w:rFonts w:ascii="Calibri" w:eastAsia="Calibri" w:hAnsi="Calibri" w:cs="Calibri"/>
          <w:color w:val="000000"/>
          <w:sz w:val="26"/>
          <w:szCs w:val="26"/>
        </w:rPr>
      </w:pPr>
    </w:p>
    <w:p w14:paraId="1240C252" w14:textId="77777777" w:rsidR="00CB4E36" w:rsidRDefault="00CB4E36" w:rsidP="00785810">
      <w:pPr>
        <w:spacing w:line="236" w:lineRule="auto"/>
        <w:ind w:left="26" w:right="-20"/>
        <w:rPr>
          <w:rFonts w:ascii="Calibri" w:eastAsia="Calibri" w:hAnsi="Calibri" w:cs="Calibri"/>
          <w:color w:val="000000"/>
          <w:sz w:val="26"/>
          <w:szCs w:val="26"/>
        </w:rPr>
      </w:pPr>
    </w:p>
    <w:p w14:paraId="596B8C05" w14:textId="77777777" w:rsidR="00CB4E36" w:rsidRDefault="00CB4E36" w:rsidP="00785810">
      <w:pPr>
        <w:spacing w:line="236" w:lineRule="auto"/>
        <w:ind w:left="26" w:right="-20"/>
        <w:rPr>
          <w:rFonts w:ascii="Calibri" w:eastAsia="Calibri" w:hAnsi="Calibri" w:cs="Calibri"/>
          <w:color w:val="000000"/>
          <w:sz w:val="26"/>
          <w:szCs w:val="26"/>
        </w:rPr>
      </w:pPr>
    </w:p>
    <w:p w14:paraId="0DE7798E" w14:textId="77777777" w:rsidR="00CB4E36" w:rsidRDefault="00CB4E36" w:rsidP="00785810">
      <w:pPr>
        <w:spacing w:line="236" w:lineRule="auto"/>
        <w:ind w:left="26" w:right="-20"/>
        <w:rPr>
          <w:rFonts w:ascii="Calibri" w:eastAsia="Calibri" w:hAnsi="Calibri" w:cs="Calibri"/>
          <w:color w:val="000000"/>
          <w:sz w:val="26"/>
          <w:szCs w:val="26"/>
        </w:rPr>
      </w:pPr>
    </w:p>
    <w:p w14:paraId="042EF8FB" w14:textId="77777777" w:rsidR="00CB4E36" w:rsidRDefault="00CB4E36" w:rsidP="00785810">
      <w:pPr>
        <w:spacing w:line="236" w:lineRule="auto"/>
        <w:ind w:left="26" w:right="-20"/>
        <w:rPr>
          <w:rFonts w:ascii="Calibri" w:eastAsia="Calibri" w:hAnsi="Calibri" w:cs="Calibri"/>
          <w:color w:val="000000"/>
          <w:sz w:val="26"/>
          <w:szCs w:val="26"/>
        </w:rPr>
      </w:pPr>
    </w:p>
    <w:p w14:paraId="19127819" w14:textId="77777777" w:rsidR="00CB4E36" w:rsidRDefault="00CB4E36" w:rsidP="00785810">
      <w:pPr>
        <w:spacing w:line="236" w:lineRule="auto"/>
        <w:ind w:left="26" w:right="-20"/>
        <w:rPr>
          <w:rFonts w:ascii="Calibri" w:eastAsia="Calibri" w:hAnsi="Calibri" w:cs="Calibri"/>
          <w:color w:val="000000"/>
          <w:sz w:val="26"/>
          <w:szCs w:val="26"/>
        </w:rPr>
      </w:pPr>
    </w:p>
    <w:p w14:paraId="7496126C" w14:textId="77777777" w:rsidR="00CB4E36" w:rsidRDefault="00CB4E36" w:rsidP="00785810">
      <w:pPr>
        <w:spacing w:line="236" w:lineRule="auto"/>
        <w:ind w:left="26" w:right="-20"/>
        <w:rPr>
          <w:rFonts w:ascii="Calibri" w:eastAsia="Calibri" w:hAnsi="Calibri" w:cs="Calibri"/>
          <w:color w:val="000000"/>
          <w:sz w:val="26"/>
          <w:szCs w:val="26"/>
        </w:rPr>
      </w:pPr>
    </w:p>
    <w:p w14:paraId="3C4DB40B" w14:textId="77777777" w:rsidR="00CB4E36" w:rsidRDefault="00CB4E36" w:rsidP="00785810">
      <w:pPr>
        <w:spacing w:line="236" w:lineRule="auto"/>
        <w:ind w:left="26" w:right="-20"/>
        <w:rPr>
          <w:rFonts w:ascii="Calibri" w:eastAsia="Calibri" w:hAnsi="Calibri" w:cs="Calibri"/>
          <w:color w:val="000000"/>
          <w:sz w:val="26"/>
          <w:szCs w:val="26"/>
        </w:rPr>
      </w:pPr>
    </w:p>
    <w:p w14:paraId="0C00D8C0" w14:textId="77777777" w:rsidR="00CB4E36" w:rsidRDefault="00CB4E36" w:rsidP="00785810">
      <w:pPr>
        <w:spacing w:line="236" w:lineRule="auto"/>
        <w:ind w:left="26" w:right="-20"/>
        <w:rPr>
          <w:rFonts w:ascii="Calibri" w:eastAsia="Calibri" w:hAnsi="Calibri" w:cs="Calibri"/>
          <w:color w:val="000000"/>
          <w:sz w:val="26"/>
          <w:szCs w:val="26"/>
        </w:rPr>
      </w:pPr>
    </w:p>
    <w:p w14:paraId="1787ED8F" w14:textId="77777777" w:rsidR="00CB4E36" w:rsidRDefault="00C74465" w:rsidP="00785810">
      <w:pPr>
        <w:spacing w:line="236" w:lineRule="auto"/>
        <w:ind w:left="26" w:right="-20"/>
        <w:rPr>
          <w:rFonts w:ascii="Calibri" w:eastAsia="Calibri" w:hAnsi="Calibri" w:cs="Calibri"/>
          <w:color w:val="000000"/>
          <w:sz w:val="26"/>
          <w:szCs w:val="26"/>
        </w:rPr>
      </w:pPr>
      <w:r>
        <w:rPr>
          <w:noProof/>
        </w:rPr>
        <mc:AlternateContent>
          <mc:Choice Requires="wps">
            <w:drawing>
              <wp:anchor distT="0" distB="0" distL="0" distR="0" simplePos="0" relativeHeight="251744768" behindDoc="1" locked="0" layoutInCell="0" allowOverlap="1" wp14:anchorId="27CAC186" wp14:editId="286EF21F">
                <wp:simplePos x="0" y="0"/>
                <wp:positionH relativeFrom="page">
                  <wp:posOffset>14163</wp:posOffset>
                </wp:positionH>
                <wp:positionV relativeFrom="page">
                  <wp:posOffset>9562907</wp:posOffset>
                </wp:positionV>
                <wp:extent cx="6858000" cy="0"/>
                <wp:effectExtent l="0" t="0" r="12700" b="12700"/>
                <wp:wrapNone/>
                <wp:docPr id="114" name="drawingObject44"/>
                <wp:cNvGraphicFramePr/>
                <a:graphic xmlns:a="http://schemas.openxmlformats.org/drawingml/2006/main">
                  <a:graphicData uri="http://schemas.microsoft.com/office/word/2010/wordprocessingShape">
                    <wps:wsp>
                      <wps:cNvSpPr/>
                      <wps:spPr>
                        <a:xfrm>
                          <a:off x="0" y="0"/>
                          <a:ext cx="6858000" cy="0"/>
                        </a:xfrm>
                        <a:custGeom>
                          <a:avLst/>
                          <a:gdLst/>
                          <a:ahLst/>
                          <a:cxnLst/>
                          <a:rect l="0" t="0" r="0" b="0"/>
                          <a:pathLst>
                            <a:path w="6858000">
                              <a:moveTo>
                                <a:pt x="0" y="0"/>
                              </a:moveTo>
                              <a:lnTo>
                                <a:pt x="6858000" y="0"/>
                              </a:lnTo>
                            </a:path>
                          </a:pathLst>
                        </a:custGeom>
                        <a:noFill/>
                        <a:ln w="6350" cap="flat">
                          <a:solidFill>
                            <a:srgbClr val="1F4E79"/>
                          </a:solidFill>
                          <a:prstDash/>
                        </a:ln>
                      </wps:spPr>
                      <wps:bodyPr vertOverflow="overflow" horzOverflow="overflow" vert="horz" lIns="91440" tIns="45720" rIns="91440" bIns="45720" anchor="t"/>
                    </wps:wsp>
                  </a:graphicData>
                </a:graphic>
              </wp:anchor>
            </w:drawing>
          </mc:Choice>
          <mc:Fallback>
            <w:pict>
              <v:shape w14:anchorId="19912690" id="drawingObject44" o:spid="_x0000_s1026" style="position:absolute;margin-left:1.1pt;margin-top:753pt;width:540pt;height:0;z-index:-251571712;visibility:visible;mso-wrap-style:square;mso-wrap-distance-left:0;mso-wrap-distance-top:0;mso-wrap-distance-right:0;mso-wrap-distance-bottom:0;mso-position-horizontal:absolute;mso-position-horizontal-relative:page;mso-position-vertical:absolute;mso-position-vertical-relative:page;v-text-anchor:top" coordsize="6858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" o:allowincell="f" path="m,l6858000,e" filled="f" strokecolor="#1f4e79" strokeweight=".5pt">
                <v:path arrowok="t" textboxrect="0,0,6858000,0"/>
                <w10:wrap anchorx="page" anchory="page"/>
              </v:shape>
            </w:pict>
          </mc:Fallback>
        </mc:AlternateContent>
      </w:r>
    </w:p>
    <w:p w14:paraId="54B13614" w14:textId="77777777" w:rsidR="00CB4E36" w:rsidRDefault="00CB4E36" w:rsidP="00785810">
      <w:pPr>
        <w:spacing w:line="236" w:lineRule="auto"/>
        <w:ind w:left="26" w:right="-20"/>
        <w:rPr>
          <w:rFonts w:ascii="Calibri" w:eastAsia="Calibri" w:hAnsi="Calibri" w:cs="Calibri"/>
          <w:color w:val="000000"/>
          <w:sz w:val="26"/>
          <w:szCs w:val="26"/>
        </w:rPr>
      </w:pPr>
    </w:p>
    <w:p w14:paraId="2D7480C6" w14:textId="77777777" w:rsidR="00CB4E36" w:rsidRDefault="00CB4E36" w:rsidP="00785810">
      <w:pPr>
        <w:spacing w:line="236" w:lineRule="auto"/>
        <w:ind w:left="26" w:right="-20"/>
        <w:rPr>
          <w:rFonts w:ascii="Calibri" w:eastAsia="Calibri" w:hAnsi="Calibri" w:cs="Calibri"/>
          <w:color w:val="000000"/>
          <w:sz w:val="26"/>
          <w:szCs w:val="26"/>
        </w:rPr>
      </w:pPr>
    </w:p>
    <w:p w14:paraId="697CE7CC" w14:textId="77777777" w:rsidR="00CB4E36" w:rsidRDefault="00CB4E36" w:rsidP="00785810">
      <w:pPr>
        <w:spacing w:line="236" w:lineRule="auto"/>
        <w:ind w:left="26" w:right="-20"/>
        <w:rPr>
          <w:rFonts w:ascii="Calibri" w:eastAsia="Calibri" w:hAnsi="Calibri" w:cs="Calibri"/>
          <w:color w:val="000000"/>
          <w:sz w:val="26"/>
          <w:szCs w:val="26"/>
        </w:rPr>
      </w:pPr>
    </w:p>
    <w:p w14:paraId="77D55BF7" w14:textId="77777777" w:rsidR="00377F7E" w:rsidRDefault="00377F7E" w:rsidP="00C74465">
      <w:pPr>
        <w:spacing w:line="236" w:lineRule="auto"/>
        <w:ind w:right="-20"/>
        <w:rPr>
          <w:rFonts w:ascii="Calibri" w:eastAsia="Calibri" w:hAnsi="Calibri" w:cs="Calibri"/>
          <w:color w:val="000000"/>
          <w:sz w:val="26"/>
          <w:szCs w:val="26"/>
        </w:rPr>
      </w:pPr>
    </w:p>
    <w:p w14:paraId="4F361149" w14:textId="77777777" w:rsidR="00377F7E" w:rsidRDefault="00377F7E" w:rsidP="00C74465">
      <w:pPr>
        <w:spacing w:line="236" w:lineRule="auto"/>
        <w:ind w:right="-20"/>
        <w:rPr>
          <w:rFonts w:ascii="Calibri" w:eastAsia="Calibri" w:hAnsi="Calibri" w:cs="Calibri"/>
          <w:color w:val="000000"/>
          <w:sz w:val="26"/>
          <w:szCs w:val="26"/>
        </w:rPr>
      </w:pPr>
    </w:p>
    <w:p w14:paraId="6841EF6A" w14:textId="77777777" w:rsidR="00377F7E" w:rsidRDefault="00377F7E" w:rsidP="00C74465">
      <w:pPr>
        <w:spacing w:line="236" w:lineRule="auto"/>
        <w:ind w:right="-20"/>
        <w:rPr>
          <w:rFonts w:ascii="Calibri" w:eastAsia="Calibri" w:hAnsi="Calibri" w:cs="Calibri"/>
          <w:color w:val="000000"/>
          <w:sz w:val="26"/>
          <w:szCs w:val="26"/>
        </w:rPr>
      </w:pPr>
    </w:p>
    <w:p w14:paraId="448AA3CD" w14:textId="77777777" w:rsidR="00377F7E" w:rsidRDefault="00377F7E" w:rsidP="00C74465">
      <w:pPr>
        <w:spacing w:line="236" w:lineRule="auto"/>
        <w:ind w:right="-20"/>
        <w:rPr>
          <w:rFonts w:ascii="Calibri" w:eastAsia="Calibri" w:hAnsi="Calibri" w:cs="Calibri"/>
          <w:color w:val="000000"/>
          <w:sz w:val="26"/>
          <w:szCs w:val="26"/>
        </w:rPr>
      </w:pPr>
    </w:p>
    <w:p w14:paraId="15BAD7B3" w14:textId="77777777" w:rsidR="00377F7E" w:rsidRDefault="00377F7E" w:rsidP="00C74465">
      <w:pPr>
        <w:spacing w:line="236" w:lineRule="auto"/>
        <w:ind w:right="-20"/>
        <w:rPr>
          <w:rFonts w:ascii="Calibri" w:eastAsia="Calibri" w:hAnsi="Calibri" w:cs="Calibri"/>
          <w:color w:val="000000"/>
          <w:sz w:val="26"/>
          <w:szCs w:val="26"/>
        </w:rPr>
      </w:pPr>
    </w:p>
    <w:p w14:paraId="3BF1BAE8" w14:textId="77777777" w:rsidR="00377F7E" w:rsidRDefault="00377F7E" w:rsidP="00C74465">
      <w:pPr>
        <w:spacing w:line="236" w:lineRule="auto"/>
        <w:ind w:right="-20"/>
        <w:rPr>
          <w:rFonts w:ascii="Calibri" w:eastAsia="Calibri" w:hAnsi="Calibri" w:cs="Calibri"/>
          <w:color w:val="000000"/>
          <w:sz w:val="26"/>
          <w:szCs w:val="26"/>
        </w:rPr>
      </w:pPr>
    </w:p>
    <w:p w14:paraId="439C17B2" w14:textId="77777777" w:rsidR="00377F7E" w:rsidRDefault="00377F7E" w:rsidP="00C74465">
      <w:pPr>
        <w:spacing w:line="236" w:lineRule="auto"/>
        <w:ind w:right="-20"/>
        <w:rPr>
          <w:rFonts w:ascii="Calibri" w:eastAsia="Calibri" w:hAnsi="Calibri" w:cs="Calibri"/>
          <w:color w:val="000000"/>
          <w:sz w:val="26"/>
          <w:szCs w:val="26"/>
        </w:rPr>
      </w:pPr>
    </w:p>
    <w:p w14:paraId="5645D118" w14:textId="77777777" w:rsidR="00377F7E" w:rsidRDefault="00377F7E" w:rsidP="00C74465">
      <w:pPr>
        <w:spacing w:line="236" w:lineRule="auto"/>
        <w:ind w:right="-20"/>
        <w:rPr>
          <w:rFonts w:ascii="Calibri" w:eastAsia="Calibri" w:hAnsi="Calibri" w:cs="Calibri"/>
          <w:color w:val="000000"/>
          <w:sz w:val="26"/>
          <w:szCs w:val="26"/>
        </w:rPr>
      </w:pPr>
    </w:p>
    <w:p w14:paraId="4F735FDB" w14:textId="77777777" w:rsidR="00377F7E" w:rsidRDefault="00377F7E" w:rsidP="00C74465">
      <w:pPr>
        <w:spacing w:line="236" w:lineRule="auto"/>
        <w:ind w:right="-20"/>
        <w:rPr>
          <w:rFonts w:ascii="Calibri" w:eastAsia="Calibri" w:hAnsi="Calibri" w:cs="Calibri"/>
          <w:color w:val="000000"/>
          <w:sz w:val="26"/>
          <w:szCs w:val="26"/>
        </w:rPr>
      </w:pPr>
    </w:p>
    <w:p w14:paraId="1831421B" w14:textId="77777777" w:rsidR="00377F7E" w:rsidRDefault="00377F7E" w:rsidP="00C74465">
      <w:pPr>
        <w:spacing w:line="236" w:lineRule="auto"/>
        <w:ind w:right="-20"/>
        <w:rPr>
          <w:rFonts w:ascii="Calibri" w:eastAsia="Calibri" w:hAnsi="Calibri" w:cs="Calibri"/>
          <w:color w:val="000000"/>
          <w:sz w:val="26"/>
          <w:szCs w:val="26"/>
        </w:rPr>
      </w:pPr>
    </w:p>
    <w:p w14:paraId="34C1CEB7" w14:textId="77777777" w:rsidR="00377F7E" w:rsidRDefault="00377F7E" w:rsidP="00C74465">
      <w:pPr>
        <w:spacing w:line="236" w:lineRule="auto"/>
        <w:ind w:right="-20"/>
        <w:rPr>
          <w:rFonts w:ascii="Calibri" w:eastAsia="Calibri" w:hAnsi="Calibri" w:cs="Calibri"/>
          <w:color w:val="000000"/>
          <w:sz w:val="26"/>
          <w:szCs w:val="26"/>
        </w:rPr>
      </w:pPr>
    </w:p>
    <w:p w14:paraId="0A241235" w14:textId="77777777" w:rsidR="00377F7E" w:rsidRDefault="00377F7E" w:rsidP="00C74465">
      <w:pPr>
        <w:spacing w:line="236" w:lineRule="auto"/>
        <w:ind w:right="-20"/>
        <w:rPr>
          <w:rFonts w:ascii="Calibri" w:eastAsia="Calibri" w:hAnsi="Calibri" w:cs="Calibri"/>
          <w:color w:val="000000"/>
          <w:sz w:val="26"/>
          <w:szCs w:val="26"/>
        </w:rPr>
      </w:pPr>
    </w:p>
    <w:p w14:paraId="24DB38EC" w14:textId="77777777" w:rsidR="00377F7E" w:rsidRDefault="00377F7E" w:rsidP="00C74465">
      <w:pPr>
        <w:spacing w:line="236" w:lineRule="auto"/>
        <w:ind w:right="-20"/>
        <w:rPr>
          <w:rFonts w:ascii="Calibri" w:eastAsia="Calibri" w:hAnsi="Calibri" w:cs="Calibri"/>
          <w:color w:val="000000"/>
          <w:sz w:val="26"/>
          <w:szCs w:val="26"/>
        </w:rPr>
      </w:pPr>
    </w:p>
    <w:p w14:paraId="09237C05" w14:textId="77777777" w:rsidR="00377F7E" w:rsidRPr="00785810" w:rsidRDefault="00377F7E" w:rsidP="00C74465">
      <w:pPr>
        <w:spacing w:line="236" w:lineRule="auto"/>
        <w:ind w:right="-20"/>
        <w:rPr>
          <w:rFonts w:ascii="Calibri" w:eastAsia="Calibri" w:hAnsi="Calibri" w:cs="Calibri"/>
          <w:color w:val="000000"/>
          <w:sz w:val="19"/>
          <w:szCs w:val="19"/>
        </w:rPr>
        <w:sectPr w:rsidR="00377F7E" w:rsidRPr="00785810" w:rsidSect="00C31C96">
          <w:type w:val="continuous"/>
          <w:pgSz w:w="10800" w:h="15600"/>
          <w:pgMar w:top="474" w:right="365" w:bottom="0" w:left="478" w:header="720" w:footer="340" w:gutter="0"/>
          <w:cols w:num="3" w:space="708" w:equalWidth="0">
            <w:col w:w="6199" w:space="519"/>
            <w:col w:w="1528" w:space="587"/>
            <w:col w:w="1119" w:space="0"/>
          </w:cols>
          <w:docGrid w:linePitch="326"/>
        </w:sectPr>
      </w:pPr>
    </w:p>
    <w:p w14:paraId="31598DD4" w14:textId="77777777" w:rsidR="00901EB5" w:rsidRPr="00377F7E" w:rsidRDefault="00501518">
      <w:pPr>
        <w:ind w:right="-20"/>
        <w:rPr>
          <w:rFonts w:ascii="Calibri" w:eastAsia="Calibri" w:hAnsi="Calibri" w:cs="Calibri"/>
          <w:b/>
          <w:bCs/>
          <w:color w:val="7030A0"/>
          <w:sz w:val="36"/>
          <w:szCs w:val="36"/>
        </w:rPr>
      </w:pPr>
      <w:r w:rsidRPr="006103C6">
        <w:rPr>
          <w:rFonts w:ascii="Times New Roman" w:eastAsia="Times New Roman" w:hAnsi="Times New Roman" w:cs="Times New Roman"/>
          <w:noProof/>
        </w:rPr>
        <w:lastRenderedPageBreak/>
        <w:drawing>
          <wp:anchor distT="0" distB="0" distL="114300" distR="114300" simplePos="0" relativeHeight="251691520" behindDoc="0" locked="0" layoutInCell="1" allowOverlap="1" wp14:anchorId="434B4AD4" wp14:editId="3A82905E">
            <wp:simplePos x="0" y="0"/>
            <wp:positionH relativeFrom="column">
              <wp:posOffset>3976515</wp:posOffset>
            </wp:positionH>
            <wp:positionV relativeFrom="paragraph">
              <wp:posOffset>0</wp:posOffset>
            </wp:positionV>
            <wp:extent cx="2325370" cy="361950"/>
            <wp:effectExtent l="0" t="0" r="0" b="6350"/>
            <wp:wrapSquare wrapText="bothSides"/>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5370"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008B48BC">
        <w:rPr>
          <w:rFonts w:ascii="Calibri" w:eastAsia="Calibri" w:hAnsi="Calibri" w:cs="Calibri"/>
          <w:b/>
          <w:bCs/>
          <w:i/>
          <w:iCs/>
          <w:color w:val="44546A"/>
          <w:sz w:val="36"/>
          <w:szCs w:val="36"/>
        </w:rPr>
        <w:t>Business</w:t>
      </w:r>
      <w:r w:rsidR="008B48BC">
        <w:rPr>
          <w:rFonts w:ascii="Calibri" w:eastAsia="Calibri" w:hAnsi="Calibri" w:cs="Calibri"/>
          <w:color w:val="44546A"/>
          <w:sz w:val="36"/>
          <w:szCs w:val="36"/>
        </w:rPr>
        <w:t xml:space="preserve"> </w:t>
      </w:r>
      <w:r w:rsidR="008B48BC">
        <w:rPr>
          <w:rFonts w:ascii="Calibri" w:eastAsia="Calibri" w:hAnsi="Calibri" w:cs="Calibri"/>
          <w:b/>
          <w:bCs/>
          <w:i/>
          <w:iCs/>
          <w:color w:val="44546A"/>
          <w:sz w:val="36"/>
          <w:szCs w:val="36"/>
        </w:rPr>
        <w:t>Strategy</w:t>
      </w:r>
    </w:p>
    <w:p w14:paraId="53A2D8D4" w14:textId="77777777" w:rsidR="00901EB5" w:rsidRDefault="00C74465">
      <w:pPr>
        <w:spacing w:after="12" w:line="240" w:lineRule="exact"/>
        <w:rPr>
          <w:rFonts w:ascii="Calibri" w:eastAsia="Calibri" w:hAnsi="Calibri" w:cs="Calibri"/>
        </w:rPr>
      </w:pPr>
      <w:r>
        <w:rPr>
          <w:rFonts w:ascii="Calibri" w:eastAsia="Calibri" w:hAnsi="Calibri" w:cs="Calibri"/>
          <w:noProof/>
        </w:rPr>
        <mc:AlternateContent>
          <mc:Choice Requires="wps">
            <w:drawing>
              <wp:anchor distT="0" distB="0" distL="114300" distR="114300" simplePos="0" relativeHeight="251677184" behindDoc="0" locked="0" layoutInCell="1" allowOverlap="1" wp14:anchorId="3DE92876" wp14:editId="34C20731">
                <wp:simplePos x="0" y="0"/>
                <wp:positionH relativeFrom="column">
                  <wp:posOffset>-2588</wp:posOffset>
                </wp:positionH>
                <wp:positionV relativeFrom="paragraph">
                  <wp:posOffset>5907</wp:posOffset>
                </wp:positionV>
                <wp:extent cx="6377305" cy="7882359"/>
                <wp:effectExtent l="0" t="0" r="0" b="4445"/>
                <wp:wrapNone/>
                <wp:docPr id="65" name="Text Box 65"/>
                <wp:cNvGraphicFramePr/>
                <a:graphic xmlns:a="http://schemas.openxmlformats.org/drawingml/2006/main">
                  <a:graphicData uri="http://schemas.microsoft.com/office/word/2010/wordprocessingShape">
                    <wps:wsp>
                      <wps:cNvSpPr txBox="1"/>
                      <wps:spPr>
                        <a:xfrm>
                          <a:off x="0" y="0"/>
                          <a:ext cx="6377305" cy="7882359"/>
                        </a:xfrm>
                        <a:prstGeom prst="rect">
                          <a:avLst/>
                        </a:prstGeom>
                        <a:solidFill>
                          <a:schemeClr val="lt1"/>
                        </a:solidFill>
                        <a:ln w="6350">
                          <a:noFill/>
                        </a:ln>
                      </wps:spPr>
                      <wps:txbx>
                        <w:txbxContent>
                          <w:p w14:paraId="4ED6030A" w14:textId="77777777" w:rsidR="00062D14" w:rsidRDefault="00062D14">
                            <w:pPr>
                              <w:rPr>
                                <w:u w:val="single"/>
                              </w:rPr>
                            </w:pPr>
                            <w:r>
                              <w:rPr>
                                <w:u w:val="single"/>
                              </w:rPr>
                              <w:t>Expansion</w:t>
                            </w:r>
                          </w:p>
                          <w:p w14:paraId="033F634A" w14:textId="77777777" w:rsidR="00062D14" w:rsidRPr="00B638B8" w:rsidRDefault="00062D14">
                            <w:pPr>
                              <w:rPr>
                                <w:u w:val="single"/>
                              </w:rPr>
                            </w:pPr>
                          </w:p>
                          <w:p w14:paraId="31D0BA64" w14:textId="77777777" w:rsidR="00062D14" w:rsidRDefault="00062D14">
                            <w:r>
                              <w:t>Urban Logistics since IPO has pursued an aggressive expansionary policy. This policy of acquisitions has seen the company grow their asset base (at acquisition cost) by around 400% since their 13 asset IPO funded portfolio. A key motivation for Urban Logistics</w:t>
                            </w:r>
                            <w:r>
                              <w:rPr>
                                <w:color w:val="FF0000"/>
                              </w:rPr>
                              <w:t>’</w:t>
                            </w:r>
                            <w:r>
                              <w:t xml:space="preserve"> fast pace in expansion is due to the relative expense of new build warehouses against acquiring existing sites at current market prices. The company acquires properties at 30%-70% of the cost of building a similar warehouse, a policy that is supported by the experience and contacts of management. Due to the underlying structural imbalance within last mile warehouse supply and demand, we strongly support management’s policy of expansion. We believe that when demand soon begins to outstrip supply there is likely to be upward pressure on the prices of warehouses within the company’s investment remit. We conclude that making acquisitions sooner rather than later is the best way to grow property yields going forward. This support is conditional on management continuing its policy of purchases within the aforementioned 30%-70% range.</w:t>
                            </w:r>
                          </w:p>
                          <w:p w14:paraId="2F8B6420" w14:textId="77777777" w:rsidR="00062D14" w:rsidRDefault="00062D14"/>
                          <w:p w14:paraId="118CE948" w14:textId="77777777" w:rsidR="00062D14" w:rsidRDefault="00062D14">
                            <w:r>
                              <w:t>Expansion, a driver of our investment thesis, is set to continue in the coming years with the company currently in the midst of a £145M equity placement, which when completed on the 9</w:t>
                            </w:r>
                            <w:r w:rsidRPr="00B638B8">
                              <w:rPr>
                                <w:vertAlign w:val="superscript"/>
                              </w:rPr>
                              <w:t>th</w:t>
                            </w:r>
                            <w:r>
                              <w:t xml:space="preserve"> March 2020 will near double the company’s market capitalisation. This cash inflow is earmarked to fund the acquisition of the £146M ‘Advanced Portfolio’ which consists of 12 pre-let assets in 3 portfolios which are in late stages of negotiation. Our conclusion is that this purchase will enhance shareholder value with above company average net initial yield (6.8%) and weighted unexpired average lease term (7.8years). </w:t>
                            </w:r>
                          </w:p>
                          <w:p w14:paraId="65DE37D6" w14:textId="77777777" w:rsidR="00062D14" w:rsidRDefault="00062D14"/>
                          <w:p w14:paraId="1910EDED" w14:textId="77777777" w:rsidR="00062D14" w:rsidRDefault="00062D14">
                            <w:r>
                              <w:t>In the absence of a destabilising event, leaving the company no longer being able to source funding or negotiate new acquisitions, it is highly likely that the value of Urban Logistics portfolio will exceed £500M within the next 3 years as they pursue a £300M pipeline.</w:t>
                            </w:r>
                          </w:p>
                          <w:p w14:paraId="39846721" w14:textId="77777777" w:rsidR="00062D14" w:rsidRDefault="00062D14"/>
                          <w:p w14:paraId="27752226" w14:textId="77777777" w:rsidR="00062D14" w:rsidRDefault="00062D14" w:rsidP="00831D24">
                            <w:pPr>
                              <w:rPr>
                                <w:u w:val="single"/>
                              </w:rPr>
                            </w:pPr>
                            <w:r>
                              <w:rPr>
                                <w:u w:val="single"/>
                              </w:rPr>
                              <w:t>Active Asset Management</w:t>
                            </w:r>
                          </w:p>
                          <w:p w14:paraId="53ABD861" w14:textId="77777777" w:rsidR="00062D14" w:rsidRDefault="00062D14" w:rsidP="00831D24">
                            <w:pPr>
                              <w:rPr>
                                <w:u w:val="single"/>
                              </w:rPr>
                            </w:pPr>
                          </w:p>
                          <w:p w14:paraId="0298F382" w14:textId="77777777" w:rsidR="00062D14" w:rsidRDefault="00062D14" w:rsidP="00831D24">
                            <w:r>
                              <w:t xml:space="preserve">The experienced management team aims to build shareholder value through active asset management of portfolio properties. This management consists of developing the capabilities of properties so that they provide the maximum value, and thus the maximum </w:t>
                            </w:r>
                            <w:r w:rsidRPr="00BB5965">
                              <w:t>rental</w:t>
                            </w:r>
                            <w:r>
                              <w:t xml:space="preserve"> price, to clients. Whilst we do not make a strong judgement on the effectiveness of these investments, we believe that management is well qualified to operate such a policy. </w:t>
                            </w:r>
                          </w:p>
                          <w:p w14:paraId="40C275C7" w14:textId="77777777" w:rsidR="00062D14" w:rsidRDefault="00062D14" w:rsidP="00831D24"/>
                          <w:p w14:paraId="7F2D2BEF" w14:textId="77777777" w:rsidR="00062D14" w:rsidRDefault="00062D14" w:rsidP="00831D24">
                            <w:pPr>
                              <w:rPr>
                                <w:u w:val="single"/>
                              </w:rPr>
                            </w:pPr>
                            <w:r>
                              <w:rPr>
                                <w:u w:val="single"/>
                              </w:rPr>
                              <w:t>Property Management</w:t>
                            </w:r>
                          </w:p>
                          <w:p w14:paraId="02FB5C1A" w14:textId="77777777" w:rsidR="00062D14" w:rsidRDefault="00062D14" w:rsidP="00831D24">
                            <w:pPr>
                              <w:rPr>
                                <w:u w:val="single"/>
                              </w:rPr>
                            </w:pPr>
                          </w:p>
                          <w:p w14:paraId="0008F0B2" w14:textId="77777777" w:rsidR="00062D14" w:rsidRPr="00427D30" w:rsidRDefault="00062D14" w:rsidP="00831D24">
                            <w:pPr>
                              <w:rPr>
                                <w:color w:val="FF0000"/>
                              </w:rPr>
                            </w:pPr>
                            <w:r>
                              <w:t>Day to day management of Urban Logistics’ portfolio is outsourced to Savills plc. Savills have a strong track record in property management and have similar arrangements with comparable companies such as Warehouse REIT. We are confident in the ability of Savills to meet tenant requirements.</w:t>
                            </w:r>
                            <w:r>
                              <w:tab/>
                            </w:r>
                            <w:r>
                              <w:rPr>
                                <w:color w:val="FF0000"/>
                              </w:rPr>
                              <w:t xml:space="preserve">Where did we get this from? I can’t find any mention of </w:t>
                            </w:r>
                            <w:proofErr w:type="spellStart"/>
                            <w:r>
                              <w:rPr>
                                <w:color w:val="FF0000"/>
                              </w:rPr>
                              <w:t>savills</w:t>
                            </w:r>
                            <w:proofErr w:type="spellEnd"/>
                            <w:r>
                              <w:rPr>
                                <w:color w:val="FF0000"/>
                              </w:rPr>
                              <w:t xml:space="preserve"> on their </w:t>
                            </w:r>
                            <w:proofErr w:type="spellStart"/>
                            <w:r>
                              <w:rPr>
                                <w:color w:val="FF0000"/>
                              </w:rPr>
                              <w:t>reports.Doesn’t</w:t>
                            </w:r>
                            <w:proofErr w:type="spellEnd"/>
                            <w:r>
                              <w:rPr>
                                <w:color w:val="FF0000"/>
                              </w:rPr>
                              <w:t xml:space="preserve"> </w:t>
                            </w:r>
                            <w:proofErr w:type="spellStart"/>
                            <w:r>
                              <w:rPr>
                                <w:color w:val="FF0000"/>
                              </w:rPr>
                              <w:t>savills</w:t>
                            </w:r>
                            <w:proofErr w:type="spellEnd"/>
                            <w:r>
                              <w:rPr>
                                <w:color w:val="FF0000"/>
                              </w:rPr>
                              <w:t xml:space="preserve"> handle finding tenants and pacific partners the management?</w:t>
                            </w:r>
                          </w:p>
                          <w:p w14:paraId="72068653" w14:textId="77777777" w:rsidR="00062D14" w:rsidRDefault="00062D14" w:rsidP="00831D24">
                            <w:pPr>
                              <w:rPr>
                                <w:u w:val="single"/>
                              </w:rPr>
                            </w:pPr>
                          </w:p>
                          <w:p w14:paraId="7F5C0EAF" w14:textId="77777777" w:rsidR="00062D14" w:rsidRDefault="00062D14"/>
                          <w:p w14:paraId="09AC5E77" w14:textId="77777777" w:rsidR="00062D14" w:rsidRDefault="00062D14"/>
                          <w:p w14:paraId="34B0BDB1" w14:textId="77777777" w:rsidR="00062D14" w:rsidRDefault="00062D14"/>
                          <w:p w14:paraId="7B6A0D8F" w14:textId="77777777" w:rsidR="00062D14" w:rsidRDefault="00062D14"/>
                          <w:p w14:paraId="2E97141F" w14:textId="77777777" w:rsidR="00062D14" w:rsidRDefault="00062D14"/>
                          <w:p w14:paraId="74EBB5C3" w14:textId="77777777" w:rsidR="00062D14" w:rsidRDefault="00062D14"/>
                          <w:p w14:paraId="11A8E524" w14:textId="77777777" w:rsidR="00062D14" w:rsidRDefault="00062D14"/>
                          <w:p w14:paraId="176B4DC1" w14:textId="77777777" w:rsidR="00062D14" w:rsidRDefault="00062D14"/>
                          <w:p w14:paraId="0A929705" w14:textId="77777777" w:rsidR="00062D14" w:rsidRDefault="00062D14"/>
                          <w:p w14:paraId="34B84D3F" w14:textId="77777777" w:rsidR="00062D14" w:rsidRDefault="00062D14"/>
                          <w:p w14:paraId="1D7826BB" w14:textId="77777777" w:rsidR="00062D14" w:rsidRDefault="00062D14"/>
                          <w:p w14:paraId="25729A4B" w14:textId="77777777" w:rsidR="00062D14" w:rsidRDefault="00062D14"/>
                          <w:p w14:paraId="3895F83A" w14:textId="77777777" w:rsidR="00062D14" w:rsidRDefault="00062D14"/>
                          <w:p w14:paraId="6C609FC3" w14:textId="77777777" w:rsidR="00062D14" w:rsidRDefault="00062D14"/>
                          <w:p w14:paraId="51DDDBBF" w14:textId="77777777" w:rsidR="00062D14" w:rsidRDefault="00062D14"/>
                          <w:p w14:paraId="47441B68" w14:textId="77777777" w:rsidR="00062D14" w:rsidRDefault="00062D14"/>
                          <w:p w14:paraId="1ADC49A3" w14:textId="77777777" w:rsidR="00062D14" w:rsidRDefault="00062D14"/>
                          <w:p w14:paraId="1001B86D" w14:textId="77777777" w:rsidR="00062D14" w:rsidRDefault="00062D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E92876" id="Text Box 65" o:spid="_x0000_s1034" type="#_x0000_t202" style="position:absolute;margin-left:-.2pt;margin-top:.45pt;width:502.15pt;height:620.6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" fillcolor="white [3201]" stroked="f" strokeweight=".5pt">
                <v:textbox>
                  <w:txbxContent>
                    <w:p w14:paraId="4ED6030A" w14:textId="77777777" w:rsidR="00062D14" w:rsidRDefault="00062D14">
                      <w:pPr>
                        <w:rPr>
                          <w:u w:val="single"/>
                        </w:rPr>
                      </w:pPr>
                      <w:r>
                        <w:rPr>
                          <w:u w:val="single"/>
                        </w:rPr>
                        <w:t>Expansion</w:t>
                      </w:r>
                    </w:p>
                    <w:p w14:paraId="033F634A" w14:textId="77777777" w:rsidR="00062D14" w:rsidRPr="00B638B8" w:rsidRDefault="00062D14">
                      <w:pPr>
                        <w:rPr>
                          <w:u w:val="single"/>
                        </w:rPr>
                      </w:pPr>
                    </w:p>
                    <w:p w14:paraId="31D0BA64" w14:textId="77777777" w:rsidR="00062D14" w:rsidRDefault="00062D14">
                      <w:r>
                        <w:t>Urban Logistics since IPO has pursued an aggressive expansionary policy. This policy of acquisitions has seen the company grow their asset base (at acquisition cost) by around 400% since their 13 asset IPO funded portfolio. A key motivation for Urban Logistics</w:t>
                      </w:r>
                      <w:r>
                        <w:rPr>
                          <w:color w:val="FF0000"/>
                        </w:rPr>
                        <w:t>’</w:t>
                      </w:r>
                      <w:r>
                        <w:t xml:space="preserve"> fast pace in expansion is due to the relative expense of new build warehouses against acquiring existing sites at current market prices. The company acquires properties at 30%-70% of the cost of building a similar warehouse, a policy that is supported by the experience and contacts of management. Due to the underlying structural imbalance within last mile warehouse supply and demand, we strongly support management’s policy of expansion. We believe that when demand soon begins to outstrip supply there is likely to be upward pressure on the prices of warehouses within the company’s investment remit. We conclude that making acquisitions sooner rather than later is the best way to grow property yields going forward. This support is conditional on management continuing its policy of purchases within the aforementioned 30%-70% range.</w:t>
                      </w:r>
                    </w:p>
                    <w:p w14:paraId="2F8B6420" w14:textId="77777777" w:rsidR="00062D14" w:rsidRDefault="00062D14"/>
                    <w:p w14:paraId="118CE948" w14:textId="77777777" w:rsidR="00062D14" w:rsidRDefault="00062D14">
                      <w:r>
                        <w:t>Expansion, a driver of our investment thesis, is set to continue in the coming years with the company currently in the midst of a £145M equity placement, which when completed on the 9</w:t>
                      </w:r>
                      <w:r w:rsidRPr="00B638B8">
                        <w:rPr>
                          <w:vertAlign w:val="superscript"/>
                        </w:rPr>
                        <w:t>th</w:t>
                      </w:r>
                      <w:r>
                        <w:t xml:space="preserve"> March 2020 will near double the company’s market capitalisation. This cash inflow is earmarked to fund the acquisition of the £146M ‘Advanced Portfolio’ which consists of 12 pre-let assets in 3 portfolios which are in late stages of negotiation. Our conclusion is that this purchase will enhance shareholder value with above company average net initial yield (6.8%) and weighted unexpired average lease term (7.8years). </w:t>
                      </w:r>
                    </w:p>
                    <w:p w14:paraId="65DE37D6" w14:textId="77777777" w:rsidR="00062D14" w:rsidRDefault="00062D14"/>
                    <w:p w14:paraId="1910EDED" w14:textId="77777777" w:rsidR="00062D14" w:rsidRDefault="00062D14">
                      <w:r>
                        <w:t>In the absence of a destabilising event, leaving the company no longer being able to source funding or negotiate new acquisitions, it is highly likely that the value of Urban Logistics portfolio will exceed £500M within the next 3 years as they pursue a £300M pipeline.</w:t>
                      </w:r>
                    </w:p>
                    <w:p w14:paraId="39846721" w14:textId="77777777" w:rsidR="00062D14" w:rsidRDefault="00062D14"/>
                    <w:p w14:paraId="27752226" w14:textId="77777777" w:rsidR="00062D14" w:rsidRDefault="00062D14" w:rsidP="00831D24">
                      <w:pPr>
                        <w:rPr>
                          <w:u w:val="single"/>
                        </w:rPr>
                      </w:pPr>
                      <w:r>
                        <w:rPr>
                          <w:u w:val="single"/>
                        </w:rPr>
                        <w:t>Active Asset Management</w:t>
                      </w:r>
                    </w:p>
                    <w:p w14:paraId="53ABD861" w14:textId="77777777" w:rsidR="00062D14" w:rsidRDefault="00062D14" w:rsidP="00831D24">
                      <w:pPr>
                        <w:rPr>
                          <w:u w:val="single"/>
                        </w:rPr>
                      </w:pPr>
                    </w:p>
                    <w:p w14:paraId="0298F382" w14:textId="77777777" w:rsidR="00062D14" w:rsidRDefault="00062D14" w:rsidP="00831D24">
                      <w:r>
                        <w:t xml:space="preserve">The experienced management team aims to build shareholder value through active asset management of portfolio properties. This management consists of developing the capabilities of properties so that they provide the maximum value, and thus the maximum </w:t>
                      </w:r>
                      <w:r w:rsidRPr="00BB5965">
                        <w:t>rental</w:t>
                      </w:r>
                      <w:r>
                        <w:t xml:space="preserve"> price, to clients. Whilst we do not make a strong judgement on the effectiveness of these investments, we believe that management is well qualified to operate such a policy. </w:t>
                      </w:r>
                    </w:p>
                    <w:p w14:paraId="40C275C7" w14:textId="77777777" w:rsidR="00062D14" w:rsidRDefault="00062D14" w:rsidP="00831D24"/>
                    <w:p w14:paraId="7F2D2BEF" w14:textId="77777777" w:rsidR="00062D14" w:rsidRDefault="00062D14" w:rsidP="00831D24">
                      <w:pPr>
                        <w:rPr>
                          <w:u w:val="single"/>
                        </w:rPr>
                      </w:pPr>
                      <w:r>
                        <w:rPr>
                          <w:u w:val="single"/>
                        </w:rPr>
                        <w:t>Property Management</w:t>
                      </w:r>
                    </w:p>
                    <w:p w14:paraId="02FB5C1A" w14:textId="77777777" w:rsidR="00062D14" w:rsidRDefault="00062D14" w:rsidP="00831D24">
                      <w:pPr>
                        <w:rPr>
                          <w:u w:val="single"/>
                        </w:rPr>
                      </w:pPr>
                    </w:p>
                    <w:p w14:paraId="0008F0B2" w14:textId="77777777" w:rsidR="00062D14" w:rsidRPr="00427D30" w:rsidRDefault="00062D14" w:rsidP="00831D24">
                      <w:pPr>
                        <w:rPr>
                          <w:color w:val="FF0000"/>
                        </w:rPr>
                      </w:pPr>
                      <w:r>
                        <w:t>Day to day management of Urban Logistics’ portfolio is outsourced to Savills plc. Savills have a strong track record in property management and have similar arrangements with comparable companies such as Warehouse REIT. We are confident in the ability of Savills to meet tenant requirements.</w:t>
                      </w:r>
                      <w:r>
                        <w:tab/>
                      </w:r>
                      <w:r>
                        <w:rPr>
                          <w:color w:val="FF0000"/>
                        </w:rPr>
                        <w:t xml:space="preserve">Where did we get this from? I can’t find any mention of </w:t>
                      </w:r>
                      <w:proofErr w:type="spellStart"/>
                      <w:r>
                        <w:rPr>
                          <w:color w:val="FF0000"/>
                        </w:rPr>
                        <w:t>savills</w:t>
                      </w:r>
                      <w:proofErr w:type="spellEnd"/>
                      <w:r>
                        <w:rPr>
                          <w:color w:val="FF0000"/>
                        </w:rPr>
                        <w:t xml:space="preserve"> on their </w:t>
                      </w:r>
                      <w:proofErr w:type="spellStart"/>
                      <w:r>
                        <w:rPr>
                          <w:color w:val="FF0000"/>
                        </w:rPr>
                        <w:t>reports.Doesn’t</w:t>
                      </w:r>
                      <w:proofErr w:type="spellEnd"/>
                      <w:r>
                        <w:rPr>
                          <w:color w:val="FF0000"/>
                        </w:rPr>
                        <w:t xml:space="preserve"> </w:t>
                      </w:r>
                      <w:proofErr w:type="spellStart"/>
                      <w:r>
                        <w:rPr>
                          <w:color w:val="FF0000"/>
                        </w:rPr>
                        <w:t>savills</w:t>
                      </w:r>
                      <w:proofErr w:type="spellEnd"/>
                      <w:r>
                        <w:rPr>
                          <w:color w:val="FF0000"/>
                        </w:rPr>
                        <w:t xml:space="preserve"> handle finding tenants and pacific partners the management?</w:t>
                      </w:r>
                    </w:p>
                    <w:p w14:paraId="72068653" w14:textId="77777777" w:rsidR="00062D14" w:rsidRDefault="00062D14" w:rsidP="00831D24">
                      <w:pPr>
                        <w:rPr>
                          <w:u w:val="single"/>
                        </w:rPr>
                      </w:pPr>
                    </w:p>
                    <w:p w14:paraId="7F5C0EAF" w14:textId="77777777" w:rsidR="00062D14" w:rsidRDefault="00062D14"/>
                    <w:p w14:paraId="09AC5E77" w14:textId="77777777" w:rsidR="00062D14" w:rsidRDefault="00062D14"/>
                    <w:p w14:paraId="34B0BDB1" w14:textId="77777777" w:rsidR="00062D14" w:rsidRDefault="00062D14"/>
                    <w:p w14:paraId="7B6A0D8F" w14:textId="77777777" w:rsidR="00062D14" w:rsidRDefault="00062D14"/>
                    <w:p w14:paraId="2E97141F" w14:textId="77777777" w:rsidR="00062D14" w:rsidRDefault="00062D14"/>
                    <w:p w14:paraId="74EBB5C3" w14:textId="77777777" w:rsidR="00062D14" w:rsidRDefault="00062D14"/>
                    <w:p w14:paraId="11A8E524" w14:textId="77777777" w:rsidR="00062D14" w:rsidRDefault="00062D14"/>
                    <w:p w14:paraId="176B4DC1" w14:textId="77777777" w:rsidR="00062D14" w:rsidRDefault="00062D14"/>
                    <w:p w14:paraId="0A929705" w14:textId="77777777" w:rsidR="00062D14" w:rsidRDefault="00062D14"/>
                    <w:p w14:paraId="34B84D3F" w14:textId="77777777" w:rsidR="00062D14" w:rsidRDefault="00062D14"/>
                    <w:p w14:paraId="1D7826BB" w14:textId="77777777" w:rsidR="00062D14" w:rsidRDefault="00062D14"/>
                    <w:p w14:paraId="25729A4B" w14:textId="77777777" w:rsidR="00062D14" w:rsidRDefault="00062D14"/>
                    <w:p w14:paraId="3895F83A" w14:textId="77777777" w:rsidR="00062D14" w:rsidRDefault="00062D14"/>
                    <w:p w14:paraId="6C609FC3" w14:textId="77777777" w:rsidR="00062D14" w:rsidRDefault="00062D14"/>
                    <w:p w14:paraId="51DDDBBF" w14:textId="77777777" w:rsidR="00062D14" w:rsidRDefault="00062D14"/>
                    <w:p w14:paraId="47441B68" w14:textId="77777777" w:rsidR="00062D14" w:rsidRDefault="00062D14"/>
                    <w:p w14:paraId="1ADC49A3" w14:textId="77777777" w:rsidR="00062D14" w:rsidRDefault="00062D14"/>
                    <w:p w14:paraId="1001B86D" w14:textId="77777777" w:rsidR="00062D14" w:rsidRDefault="00062D14"/>
                  </w:txbxContent>
                </v:textbox>
              </v:shape>
            </w:pict>
          </mc:Fallback>
        </mc:AlternateContent>
      </w:r>
    </w:p>
    <w:p w14:paraId="29651C8D" w14:textId="77777777" w:rsidR="00901EB5" w:rsidRDefault="00901EB5">
      <w:pPr>
        <w:sectPr w:rsidR="00901EB5" w:rsidSect="00C31C96">
          <w:pgSz w:w="10800" w:h="15600"/>
          <w:pgMar w:top="474" w:right="365" w:bottom="0" w:left="478" w:header="720" w:footer="227" w:gutter="0"/>
          <w:cols w:space="708"/>
          <w:docGrid w:linePitch="326"/>
        </w:sectPr>
      </w:pPr>
    </w:p>
    <w:p w14:paraId="27051767" w14:textId="77777777" w:rsidR="00901EB5" w:rsidRDefault="00901EB5">
      <w:pPr>
        <w:spacing w:line="240" w:lineRule="exact"/>
        <w:rPr>
          <w:rFonts w:ascii="Times New Roman" w:eastAsia="Times New Roman" w:hAnsi="Times New Roman" w:cs="Times New Roman"/>
        </w:rPr>
      </w:pPr>
    </w:p>
    <w:p w14:paraId="095F9D84" w14:textId="77777777" w:rsidR="00901EB5" w:rsidRDefault="00901EB5">
      <w:pPr>
        <w:spacing w:after="90" w:line="240" w:lineRule="exact"/>
        <w:rPr>
          <w:rFonts w:ascii="Times New Roman" w:eastAsia="Times New Roman" w:hAnsi="Times New Roman" w:cs="Times New Roman"/>
        </w:rPr>
      </w:pPr>
    </w:p>
    <w:p w14:paraId="342A954A" w14:textId="77777777" w:rsidR="00901EB5" w:rsidRDefault="00901EB5">
      <w:pPr>
        <w:sectPr w:rsidR="00901EB5">
          <w:type w:val="continuous"/>
          <w:pgSz w:w="10800" w:h="15600"/>
          <w:pgMar w:top="474" w:right="365" w:bottom="0" w:left="478" w:header="720" w:footer="720" w:gutter="0"/>
          <w:cols w:space="708"/>
        </w:sectPr>
      </w:pPr>
    </w:p>
    <w:p w14:paraId="60AE0488" w14:textId="77777777" w:rsidR="000B5369" w:rsidRDefault="000B5369" w:rsidP="00214F40">
      <w:pPr>
        <w:spacing w:after="58" w:line="240" w:lineRule="exact"/>
        <w:rPr>
          <w:rFonts w:ascii="Times New Roman" w:eastAsia="Times New Roman" w:hAnsi="Times New Roman" w:cs="Times New Roman"/>
        </w:rPr>
      </w:pPr>
    </w:p>
    <w:p w14:paraId="0EF0CEA5" w14:textId="77777777" w:rsidR="000B5369" w:rsidRDefault="000B5369" w:rsidP="00214F40">
      <w:pPr>
        <w:spacing w:after="58" w:line="240" w:lineRule="exact"/>
        <w:rPr>
          <w:rFonts w:ascii="Times New Roman" w:eastAsia="Times New Roman" w:hAnsi="Times New Roman" w:cs="Times New Roman"/>
        </w:rPr>
      </w:pPr>
    </w:p>
    <w:p w14:paraId="47343F5F" w14:textId="77777777" w:rsidR="000B5369" w:rsidRDefault="000B5369" w:rsidP="00214F40">
      <w:pPr>
        <w:spacing w:after="58" w:line="240" w:lineRule="exact"/>
        <w:rPr>
          <w:rFonts w:ascii="Times New Roman" w:eastAsia="Times New Roman" w:hAnsi="Times New Roman" w:cs="Times New Roman"/>
        </w:rPr>
      </w:pPr>
    </w:p>
    <w:p w14:paraId="3A6FF887" w14:textId="77777777" w:rsidR="000B5369" w:rsidRDefault="000B5369" w:rsidP="00214F40">
      <w:pPr>
        <w:spacing w:after="58" w:line="240" w:lineRule="exact"/>
        <w:rPr>
          <w:rFonts w:ascii="Times New Roman" w:eastAsia="Times New Roman" w:hAnsi="Times New Roman" w:cs="Times New Roman"/>
        </w:rPr>
      </w:pPr>
    </w:p>
    <w:p w14:paraId="749E24C9" w14:textId="77777777" w:rsidR="000B5369" w:rsidRDefault="000B5369" w:rsidP="00214F40">
      <w:pPr>
        <w:spacing w:after="58" w:line="240" w:lineRule="exact"/>
        <w:rPr>
          <w:rFonts w:ascii="Times New Roman" w:eastAsia="Times New Roman" w:hAnsi="Times New Roman" w:cs="Times New Roman"/>
        </w:rPr>
      </w:pPr>
    </w:p>
    <w:p w14:paraId="71F639BD" w14:textId="77777777" w:rsidR="000B5369" w:rsidRDefault="000B5369" w:rsidP="00214F40">
      <w:pPr>
        <w:spacing w:after="58" w:line="240" w:lineRule="exact"/>
        <w:rPr>
          <w:rFonts w:ascii="Times New Roman" w:eastAsia="Times New Roman" w:hAnsi="Times New Roman" w:cs="Times New Roman"/>
        </w:rPr>
      </w:pPr>
    </w:p>
    <w:p w14:paraId="0E11F848" w14:textId="77777777" w:rsidR="000B5369" w:rsidRDefault="000B5369" w:rsidP="00214F40">
      <w:pPr>
        <w:spacing w:after="58" w:line="240" w:lineRule="exact"/>
        <w:rPr>
          <w:rFonts w:ascii="Times New Roman" w:eastAsia="Times New Roman" w:hAnsi="Times New Roman" w:cs="Times New Roman"/>
        </w:rPr>
      </w:pPr>
    </w:p>
    <w:p w14:paraId="626E95EE" w14:textId="77777777" w:rsidR="000B5369" w:rsidRDefault="000B5369" w:rsidP="00214F40">
      <w:pPr>
        <w:spacing w:after="58" w:line="240" w:lineRule="exact"/>
        <w:rPr>
          <w:rFonts w:ascii="Times New Roman" w:eastAsia="Times New Roman" w:hAnsi="Times New Roman" w:cs="Times New Roman"/>
        </w:rPr>
      </w:pPr>
    </w:p>
    <w:p w14:paraId="477AB902" w14:textId="77777777" w:rsidR="000B5369" w:rsidRDefault="000B5369" w:rsidP="00214F40">
      <w:pPr>
        <w:spacing w:after="58" w:line="240" w:lineRule="exact"/>
        <w:rPr>
          <w:rFonts w:ascii="Times New Roman" w:eastAsia="Times New Roman" w:hAnsi="Times New Roman" w:cs="Times New Roman"/>
        </w:rPr>
      </w:pPr>
    </w:p>
    <w:p w14:paraId="4A184AA2" w14:textId="77777777" w:rsidR="000B5369" w:rsidRDefault="000B5369" w:rsidP="00214F40">
      <w:pPr>
        <w:spacing w:after="58" w:line="240" w:lineRule="exact"/>
        <w:rPr>
          <w:rFonts w:ascii="Times New Roman" w:eastAsia="Times New Roman" w:hAnsi="Times New Roman" w:cs="Times New Roman"/>
        </w:rPr>
      </w:pPr>
    </w:p>
    <w:p w14:paraId="20F3F894" w14:textId="77777777" w:rsidR="000B5369" w:rsidRDefault="000B5369" w:rsidP="00214F40">
      <w:pPr>
        <w:spacing w:after="58" w:line="240" w:lineRule="exact"/>
        <w:rPr>
          <w:rFonts w:ascii="Times New Roman" w:eastAsia="Times New Roman" w:hAnsi="Times New Roman" w:cs="Times New Roman"/>
        </w:rPr>
      </w:pPr>
    </w:p>
    <w:p w14:paraId="4A94036E" w14:textId="77777777" w:rsidR="00B40E7B" w:rsidRDefault="00B40E7B" w:rsidP="00214F40">
      <w:pPr>
        <w:spacing w:after="58" w:line="240" w:lineRule="exact"/>
        <w:rPr>
          <w:rFonts w:ascii="Times New Roman" w:eastAsia="Times New Roman" w:hAnsi="Times New Roman" w:cs="Times New Roman"/>
        </w:rPr>
      </w:pPr>
    </w:p>
    <w:p w14:paraId="2B547F9C" w14:textId="77777777" w:rsidR="00B40E7B" w:rsidRDefault="00B40E7B" w:rsidP="00214F40">
      <w:pPr>
        <w:spacing w:after="58" w:line="240" w:lineRule="exact"/>
        <w:rPr>
          <w:rFonts w:ascii="Times New Roman" w:eastAsia="Times New Roman" w:hAnsi="Times New Roman" w:cs="Times New Roman"/>
        </w:rPr>
      </w:pPr>
    </w:p>
    <w:p w14:paraId="63B045AF" w14:textId="77777777" w:rsidR="00B40E7B" w:rsidRDefault="00B40E7B" w:rsidP="00214F40">
      <w:pPr>
        <w:spacing w:after="58" w:line="240" w:lineRule="exact"/>
        <w:rPr>
          <w:rFonts w:ascii="Times New Roman" w:eastAsia="Times New Roman" w:hAnsi="Times New Roman" w:cs="Times New Roman"/>
        </w:rPr>
      </w:pPr>
    </w:p>
    <w:p w14:paraId="7C6E2562" w14:textId="77777777" w:rsidR="00B40E7B" w:rsidRDefault="00B40E7B" w:rsidP="00214F40">
      <w:pPr>
        <w:spacing w:after="58" w:line="240" w:lineRule="exact"/>
        <w:rPr>
          <w:rFonts w:ascii="Times New Roman" w:eastAsia="Times New Roman" w:hAnsi="Times New Roman" w:cs="Times New Roman"/>
        </w:rPr>
      </w:pPr>
    </w:p>
    <w:p w14:paraId="289D2680" w14:textId="77777777" w:rsidR="00B40E7B" w:rsidRDefault="00B40E7B" w:rsidP="00214F40">
      <w:pPr>
        <w:spacing w:after="58" w:line="240" w:lineRule="exact"/>
        <w:rPr>
          <w:rFonts w:ascii="Times New Roman" w:eastAsia="Times New Roman" w:hAnsi="Times New Roman" w:cs="Times New Roman"/>
        </w:rPr>
      </w:pPr>
    </w:p>
    <w:p w14:paraId="2FDAC6C1" w14:textId="77777777" w:rsidR="00B40E7B" w:rsidRDefault="00B40E7B" w:rsidP="00214F40">
      <w:pPr>
        <w:spacing w:after="58" w:line="240" w:lineRule="exact"/>
        <w:rPr>
          <w:rFonts w:ascii="Times New Roman" w:eastAsia="Times New Roman" w:hAnsi="Times New Roman" w:cs="Times New Roman"/>
        </w:rPr>
      </w:pPr>
    </w:p>
    <w:p w14:paraId="7707B42D" w14:textId="77777777" w:rsidR="00B40E7B" w:rsidRDefault="00B40E7B" w:rsidP="00214F40">
      <w:pPr>
        <w:spacing w:after="58" w:line="240" w:lineRule="exact"/>
        <w:rPr>
          <w:rFonts w:ascii="Times New Roman" w:eastAsia="Times New Roman" w:hAnsi="Times New Roman" w:cs="Times New Roman"/>
        </w:rPr>
      </w:pPr>
    </w:p>
    <w:p w14:paraId="7D9808EC" w14:textId="77777777" w:rsidR="00B40E7B" w:rsidRDefault="00B40E7B" w:rsidP="00214F40">
      <w:pPr>
        <w:spacing w:after="58" w:line="240" w:lineRule="exact"/>
        <w:rPr>
          <w:rFonts w:ascii="Times New Roman" w:eastAsia="Times New Roman" w:hAnsi="Times New Roman" w:cs="Times New Roman"/>
        </w:rPr>
      </w:pPr>
    </w:p>
    <w:p w14:paraId="4C9B3933" w14:textId="77777777" w:rsidR="00B40E7B" w:rsidRDefault="00B40E7B" w:rsidP="00214F40">
      <w:pPr>
        <w:spacing w:after="58" w:line="240" w:lineRule="exact"/>
        <w:rPr>
          <w:rFonts w:ascii="Times New Roman" w:eastAsia="Times New Roman" w:hAnsi="Times New Roman" w:cs="Times New Roman"/>
        </w:rPr>
      </w:pPr>
    </w:p>
    <w:p w14:paraId="79EE2FEB" w14:textId="77777777" w:rsidR="00B40E7B" w:rsidRDefault="00B40E7B" w:rsidP="00214F40">
      <w:pPr>
        <w:spacing w:after="58" w:line="240" w:lineRule="exact"/>
        <w:rPr>
          <w:rFonts w:ascii="Times New Roman" w:eastAsia="Times New Roman" w:hAnsi="Times New Roman" w:cs="Times New Roman"/>
        </w:rPr>
      </w:pPr>
    </w:p>
    <w:p w14:paraId="41B134C5" w14:textId="77777777" w:rsidR="00B40E7B" w:rsidRDefault="00B40E7B" w:rsidP="00214F40">
      <w:pPr>
        <w:spacing w:after="58" w:line="240" w:lineRule="exact"/>
        <w:rPr>
          <w:rFonts w:ascii="Times New Roman" w:eastAsia="Times New Roman" w:hAnsi="Times New Roman" w:cs="Times New Roman"/>
        </w:rPr>
      </w:pPr>
    </w:p>
    <w:p w14:paraId="464240B5" w14:textId="77777777" w:rsidR="00B40E7B" w:rsidRDefault="00B40E7B" w:rsidP="00214F40">
      <w:pPr>
        <w:spacing w:after="58" w:line="240" w:lineRule="exact"/>
        <w:rPr>
          <w:rFonts w:ascii="Times New Roman" w:eastAsia="Times New Roman" w:hAnsi="Times New Roman" w:cs="Times New Roman"/>
        </w:rPr>
      </w:pPr>
    </w:p>
    <w:p w14:paraId="76B9431B" w14:textId="77777777" w:rsidR="00B40E7B" w:rsidRDefault="00B40E7B" w:rsidP="00214F40">
      <w:pPr>
        <w:spacing w:after="58" w:line="240" w:lineRule="exact"/>
        <w:rPr>
          <w:rFonts w:ascii="Times New Roman" w:eastAsia="Times New Roman" w:hAnsi="Times New Roman" w:cs="Times New Roman"/>
        </w:rPr>
      </w:pPr>
    </w:p>
    <w:p w14:paraId="3C505D77" w14:textId="77777777" w:rsidR="00B40E7B" w:rsidRDefault="00B40E7B" w:rsidP="00214F40">
      <w:pPr>
        <w:spacing w:after="58" w:line="240" w:lineRule="exact"/>
        <w:rPr>
          <w:rFonts w:ascii="Times New Roman" w:eastAsia="Times New Roman" w:hAnsi="Times New Roman" w:cs="Times New Roman"/>
        </w:rPr>
      </w:pPr>
    </w:p>
    <w:p w14:paraId="721E8567" w14:textId="77777777" w:rsidR="00B40E7B" w:rsidRDefault="00B40E7B" w:rsidP="00214F40">
      <w:pPr>
        <w:spacing w:after="58" w:line="240" w:lineRule="exact"/>
        <w:rPr>
          <w:rFonts w:ascii="Times New Roman" w:eastAsia="Times New Roman" w:hAnsi="Times New Roman" w:cs="Times New Roman"/>
        </w:rPr>
      </w:pPr>
    </w:p>
    <w:p w14:paraId="17F0C532" w14:textId="77777777" w:rsidR="00B40E7B" w:rsidRDefault="00B40E7B" w:rsidP="00214F40">
      <w:pPr>
        <w:spacing w:after="58" w:line="240" w:lineRule="exact"/>
        <w:rPr>
          <w:rFonts w:ascii="Times New Roman" w:eastAsia="Times New Roman" w:hAnsi="Times New Roman" w:cs="Times New Roman"/>
        </w:rPr>
      </w:pPr>
    </w:p>
    <w:p w14:paraId="0AC9BD8C" w14:textId="77777777" w:rsidR="00B40E7B" w:rsidRDefault="00B40E7B" w:rsidP="00214F40">
      <w:pPr>
        <w:spacing w:after="58" w:line="240" w:lineRule="exact"/>
        <w:rPr>
          <w:rFonts w:ascii="Times New Roman" w:eastAsia="Times New Roman" w:hAnsi="Times New Roman" w:cs="Times New Roman"/>
        </w:rPr>
      </w:pPr>
    </w:p>
    <w:p w14:paraId="7879680A" w14:textId="77777777" w:rsidR="00B40E7B" w:rsidRDefault="00B40E7B" w:rsidP="00214F40">
      <w:pPr>
        <w:spacing w:after="58" w:line="240" w:lineRule="exact"/>
        <w:rPr>
          <w:rFonts w:ascii="Times New Roman" w:eastAsia="Times New Roman" w:hAnsi="Times New Roman" w:cs="Times New Roman"/>
        </w:rPr>
      </w:pPr>
    </w:p>
    <w:p w14:paraId="64995313" w14:textId="77777777" w:rsidR="00B40E7B" w:rsidRDefault="00B40E7B" w:rsidP="00214F40">
      <w:pPr>
        <w:spacing w:after="58" w:line="240" w:lineRule="exact"/>
        <w:rPr>
          <w:rFonts w:ascii="Times New Roman" w:eastAsia="Times New Roman" w:hAnsi="Times New Roman" w:cs="Times New Roman"/>
        </w:rPr>
      </w:pPr>
    </w:p>
    <w:p w14:paraId="6914DB17" w14:textId="77777777" w:rsidR="008A5FBD" w:rsidRDefault="008A5FBD" w:rsidP="00214F40">
      <w:pPr>
        <w:spacing w:after="58" w:line="240" w:lineRule="exact"/>
        <w:rPr>
          <w:rFonts w:ascii="Times New Roman" w:eastAsia="Times New Roman" w:hAnsi="Times New Roman" w:cs="Times New Roman"/>
        </w:rPr>
      </w:pPr>
    </w:p>
    <w:p w14:paraId="6025DD5E" w14:textId="77777777" w:rsidR="008A5FBD" w:rsidRDefault="008A5FBD" w:rsidP="00214F40">
      <w:pPr>
        <w:spacing w:after="58" w:line="240" w:lineRule="exact"/>
        <w:rPr>
          <w:rFonts w:ascii="Times New Roman" w:eastAsia="Times New Roman" w:hAnsi="Times New Roman" w:cs="Times New Roman"/>
        </w:rPr>
      </w:pPr>
    </w:p>
    <w:p w14:paraId="27AA3B16" w14:textId="77777777" w:rsidR="008A5FBD" w:rsidRDefault="008A5FBD" w:rsidP="00214F40">
      <w:pPr>
        <w:spacing w:after="58" w:line="240" w:lineRule="exact"/>
        <w:rPr>
          <w:rFonts w:ascii="Times New Roman" w:eastAsia="Times New Roman" w:hAnsi="Times New Roman" w:cs="Times New Roman"/>
        </w:rPr>
      </w:pPr>
    </w:p>
    <w:p w14:paraId="48A98FF6" w14:textId="77777777" w:rsidR="008A5FBD" w:rsidRDefault="008A5FBD" w:rsidP="00214F40">
      <w:pPr>
        <w:spacing w:after="58" w:line="240" w:lineRule="exact"/>
        <w:rPr>
          <w:rFonts w:ascii="Times New Roman" w:eastAsia="Times New Roman" w:hAnsi="Times New Roman" w:cs="Times New Roman"/>
        </w:rPr>
      </w:pPr>
    </w:p>
    <w:p w14:paraId="2C04A975" w14:textId="77777777" w:rsidR="008A5FBD" w:rsidRDefault="008A5FBD" w:rsidP="00214F40">
      <w:pPr>
        <w:spacing w:after="58" w:line="240" w:lineRule="exact"/>
        <w:rPr>
          <w:rFonts w:ascii="Times New Roman" w:eastAsia="Times New Roman" w:hAnsi="Times New Roman" w:cs="Times New Roman"/>
        </w:rPr>
      </w:pPr>
    </w:p>
    <w:p w14:paraId="49E5C638" w14:textId="77777777" w:rsidR="008A5FBD" w:rsidRDefault="008A5FBD" w:rsidP="00214F40">
      <w:pPr>
        <w:spacing w:after="58" w:line="240" w:lineRule="exact"/>
        <w:rPr>
          <w:rFonts w:ascii="Times New Roman" w:eastAsia="Times New Roman" w:hAnsi="Times New Roman" w:cs="Times New Roman"/>
        </w:rPr>
      </w:pPr>
    </w:p>
    <w:p w14:paraId="0EF22E95" w14:textId="77777777" w:rsidR="008A5FBD" w:rsidRDefault="008A5FBD" w:rsidP="00214F40">
      <w:pPr>
        <w:spacing w:after="58" w:line="240" w:lineRule="exact"/>
        <w:rPr>
          <w:rFonts w:ascii="Times New Roman" w:eastAsia="Times New Roman" w:hAnsi="Times New Roman" w:cs="Times New Roman"/>
        </w:rPr>
      </w:pPr>
    </w:p>
    <w:p w14:paraId="7BF1D49B" w14:textId="77777777" w:rsidR="008A5FBD" w:rsidRDefault="008A5FBD" w:rsidP="00214F40">
      <w:pPr>
        <w:spacing w:after="58" w:line="240" w:lineRule="exact"/>
        <w:rPr>
          <w:rFonts w:ascii="Times New Roman" w:eastAsia="Times New Roman" w:hAnsi="Times New Roman" w:cs="Times New Roman"/>
        </w:rPr>
      </w:pPr>
    </w:p>
    <w:p w14:paraId="07762D48" w14:textId="77777777" w:rsidR="00901EB5" w:rsidRPr="00214F40" w:rsidRDefault="00B40E7B" w:rsidP="00214F40">
      <w:pPr>
        <w:spacing w:after="58" w:line="240" w:lineRule="exact"/>
        <w:rPr>
          <w:rFonts w:ascii="Times New Roman" w:eastAsia="Times New Roman" w:hAnsi="Times New Roman" w:cs="Times New Roman"/>
        </w:rPr>
        <w:sectPr w:rsidR="00901EB5" w:rsidRPr="00214F40" w:rsidSect="00C31C96">
          <w:type w:val="continuous"/>
          <w:pgSz w:w="10800" w:h="15600"/>
          <w:pgMar w:top="474" w:right="365" w:bottom="0" w:left="478" w:header="720" w:footer="227" w:gutter="0"/>
          <w:cols w:space="708"/>
          <w:docGrid w:linePitch="326"/>
        </w:sectPr>
      </w:pPr>
      <w:r>
        <w:rPr>
          <w:noProof/>
        </w:rPr>
        <mc:AlternateContent>
          <mc:Choice Requires="wps">
            <w:drawing>
              <wp:anchor distT="0" distB="0" distL="0" distR="0" simplePos="0" relativeHeight="251729408" behindDoc="1" locked="0" layoutInCell="0" allowOverlap="1" wp14:anchorId="129AB1DA" wp14:editId="53A5C3DF">
                <wp:simplePos x="0" y="0"/>
                <wp:positionH relativeFrom="page">
                  <wp:posOffset>14163</wp:posOffset>
                </wp:positionH>
                <wp:positionV relativeFrom="page">
                  <wp:posOffset>9536269</wp:posOffset>
                </wp:positionV>
                <wp:extent cx="6858000" cy="0"/>
                <wp:effectExtent l="0" t="0" r="0" b="0"/>
                <wp:wrapNone/>
                <wp:docPr id="89" name="drawingObject44"/>
                <wp:cNvGraphicFramePr/>
                <a:graphic xmlns:a="http://schemas.openxmlformats.org/drawingml/2006/main">
                  <a:graphicData uri="http://schemas.microsoft.com/office/word/2010/wordprocessingShape">
                    <wps:wsp>
                      <wps:cNvSpPr/>
                      <wps:spPr>
                        <a:xfrm>
                          <a:off x="0" y="0"/>
                          <a:ext cx="6858000" cy="0"/>
                        </a:xfrm>
                        <a:custGeom>
                          <a:avLst/>
                          <a:gdLst/>
                          <a:ahLst/>
                          <a:cxnLst/>
                          <a:rect l="0" t="0" r="0" b="0"/>
                          <a:pathLst>
                            <a:path w="6858000">
                              <a:moveTo>
                                <a:pt x="0" y="0"/>
                              </a:moveTo>
                              <a:lnTo>
                                <a:pt x="6858000" y="0"/>
                              </a:lnTo>
                            </a:path>
                          </a:pathLst>
                        </a:custGeom>
                        <a:noFill/>
                        <a:ln w="6350" cap="flat">
                          <a:solidFill>
                            <a:srgbClr val="1F4E79"/>
                          </a:solidFill>
                          <a:prstDash/>
                        </a:ln>
                      </wps:spPr>
                      <wps:bodyPr vertOverflow="overflow" horzOverflow="overflow" vert="horz" lIns="91440" tIns="45720" rIns="91440" bIns="45720" anchor="t"/>
                    </wps:wsp>
                  </a:graphicData>
                </a:graphic>
              </wp:anchor>
            </w:drawing>
          </mc:Choice>
          <mc:Fallback>
            <w:pict>
              <v:shape w14:anchorId="53B054A2" id="drawingObject44" o:spid="_x0000_s1026" style="position:absolute;margin-left:1.1pt;margin-top:750.9pt;width:540pt;height:0;z-index:-251587072;visibility:visible;mso-wrap-style:square;mso-wrap-distance-left:0;mso-wrap-distance-top:0;mso-wrap-distance-right:0;mso-wrap-distance-bottom:0;mso-position-horizontal:absolute;mso-position-horizontal-relative:page;mso-position-vertical:absolute;mso-position-vertical-relative:page;v-text-anchor:top" coordsize="6858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" o:allowincell="f" path="m,l6858000,e" filled="f" strokecolor="#1f4e79" strokeweight=".5pt">
                <v:path arrowok="t" textboxrect="0,0,6858000,0"/>
                <w10:wrap anchorx="page" anchory="page"/>
              </v:shape>
            </w:pict>
          </mc:Fallback>
        </mc:AlternateContent>
      </w:r>
    </w:p>
    <w:p w14:paraId="5BB3D715" w14:textId="77777777" w:rsidR="00901EB5" w:rsidRPr="00377F7E" w:rsidRDefault="00501518" w:rsidP="00377F7E">
      <w:pPr>
        <w:ind w:right="-20"/>
        <w:rPr>
          <w:rFonts w:ascii="Calibri" w:eastAsia="Calibri" w:hAnsi="Calibri" w:cs="Calibri"/>
          <w:b/>
          <w:bCs/>
          <w:color w:val="7030A0"/>
          <w:sz w:val="36"/>
          <w:szCs w:val="36"/>
        </w:rPr>
      </w:pPr>
      <w:r w:rsidRPr="006103C6">
        <w:rPr>
          <w:rFonts w:ascii="Times New Roman" w:eastAsia="Times New Roman" w:hAnsi="Times New Roman" w:cs="Times New Roman"/>
          <w:noProof/>
        </w:rPr>
        <w:lastRenderedPageBreak/>
        <w:drawing>
          <wp:anchor distT="0" distB="0" distL="114300" distR="114300" simplePos="0" relativeHeight="251695616" behindDoc="0" locked="0" layoutInCell="1" allowOverlap="1" wp14:anchorId="19582D63" wp14:editId="66D1ED9A">
            <wp:simplePos x="0" y="0"/>
            <wp:positionH relativeFrom="column">
              <wp:posOffset>3993266</wp:posOffset>
            </wp:positionH>
            <wp:positionV relativeFrom="paragraph">
              <wp:posOffset>362</wp:posOffset>
            </wp:positionV>
            <wp:extent cx="2325370" cy="361950"/>
            <wp:effectExtent l="0" t="0" r="0" b="6350"/>
            <wp:wrapSquare wrapText="bothSides"/>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5370"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008B48BC">
        <w:rPr>
          <w:rFonts w:ascii="Calibri" w:eastAsia="Calibri" w:hAnsi="Calibri" w:cs="Calibri"/>
          <w:b/>
          <w:bCs/>
          <w:i/>
          <w:iCs/>
          <w:color w:val="44546A"/>
          <w:sz w:val="36"/>
          <w:szCs w:val="36"/>
        </w:rPr>
        <w:t>Market</w:t>
      </w:r>
      <w:r w:rsidR="008B48BC">
        <w:rPr>
          <w:rFonts w:ascii="Calibri" w:eastAsia="Calibri" w:hAnsi="Calibri" w:cs="Calibri"/>
          <w:color w:val="44546A"/>
          <w:sz w:val="36"/>
          <w:szCs w:val="36"/>
        </w:rPr>
        <w:t xml:space="preserve"> </w:t>
      </w:r>
      <w:r w:rsidR="008B48BC">
        <w:rPr>
          <w:rFonts w:ascii="Calibri" w:eastAsia="Calibri" w:hAnsi="Calibri" w:cs="Calibri"/>
          <w:b/>
          <w:bCs/>
          <w:i/>
          <w:iCs/>
          <w:color w:val="44546A"/>
          <w:sz w:val="36"/>
          <w:szCs w:val="36"/>
        </w:rPr>
        <w:t>Environment</w:t>
      </w:r>
    </w:p>
    <w:p w14:paraId="1D4F15C0" w14:textId="77777777" w:rsidR="00901EB5" w:rsidRDefault="00901EB5">
      <w:pPr>
        <w:spacing w:line="240" w:lineRule="exact"/>
        <w:rPr>
          <w:rFonts w:ascii="Calibri" w:eastAsia="Calibri" w:hAnsi="Calibri" w:cs="Calibri"/>
        </w:rPr>
      </w:pPr>
    </w:p>
    <w:p w14:paraId="7E022769" w14:textId="77777777" w:rsidR="00377F7E" w:rsidRDefault="00EF3E0B" w:rsidP="00377F7E">
      <w:pPr>
        <w:spacing w:line="235" w:lineRule="auto"/>
        <w:ind w:right="-20"/>
        <w:rPr>
          <w:rFonts w:ascii="Calibri" w:eastAsia="Calibri" w:hAnsi="Calibri" w:cs="Calibri"/>
        </w:rPr>
      </w:pPr>
      <w:r>
        <w:rPr>
          <w:rFonts w:ascii="Calibri" w:eastAsia="Calibri" w:hAnsi="Calibri" w:cs="Calibri"/>
          <w:noProof/>
        </w:rPr>
        <mc:AlternateContent>
          <mc:Choice Requires="wps">
            <w:drawing>
              <wp:anchor distT="0" distB="0" distL="114300" distR="114300" simplePos="0" relativeHeight="251760128" behindDoc="0" locked="0" layoutInCell="1" allowOverlap="1" wp14:anchorId="1E952775" wp14:editId="5B17664E">
                <wp:simplePos x="0" y="0"/>
                <wp:positionH relativeFrom="column">
                  <wp:posOffset>13970</wp:posOffset>
                </wp:positionH>
                <wp:positionV relativeFrom="paragraph">
                  <wp:posOffset>29845</wp:posOffset>
                </wp:positionV>
                <wp:extent cx="6188075" cy="8712200"/>
                <wp:effectExtent l="0" t="0" r="0" b="0"/>
                <wp:wrapNone/>
                <wp:docPr id="39" name="Text Box 39"/>
                <wp:cNvGraphicFramePr/>
                <a:graphic xmlns:a="http://schemas.openxmlformats.org/drawingml/2006/main">
                  <a:graphicData uri="http://schemas.microsoft.com/office/word/2010/wordprocessingShape">
                    <wps:wsp>
                      <wps:cNvSpPr txBox="1"/>
                      <wps:spPr>
                        <a:xfrm>
                          <a:off x="0" y="0"/>
                          <a:ext cx="6188075" cy="8712200"/>
                        </a:xfrm>
                        <a:prstGeom prst="rect">
                          <a:avLst/>
                        </a:prstGeom>
                        <a:solidFill>
                          <a:schemeClr val="lt1"/>
                        </a:solidFill>
                        <a:ln w="6350">
                          <a:noFill/>
                        </a:ln>
                      </wps:spPr>
                      <wps:txbx>
                        <w:txbxContent>
                          <w:p w14:paraId="6345BA83" w14:textId="77777777" w:rsidR="00062D14" w:rsidRPr="00491E48" w:rsidRDefault="00062D14" w:rsidP="00EF3E0B">
                            <w:pPr>
                              <w:rPr>
                                <w:rFonts w:cstheme="majorHAnsi"/>
                                <w:u w:val="single"/>
                              </w:rPr>
                            </w:pPr>
                            <w:r w:rsidRPr="00491E48">
                              <w:rPr>
                                <w:rFonts w:cstheme="majorHAnsi"/>
                                <w:u w:val="single"/>
                              </w:rPr>
                              <w:t>Industry Overview</w:t>
                            </w:r>
                          </w:p>
                          <w:p w14:paraId="051112C1" w14:textId="77777777" w:rsidR="00062D14" w:rsidRPr="00491E48" w:rsidRDefault="00062D14">
                            <w:pPr>
                              <w:rPr>
                                <w:rFonts w:cstheme="majorHAnsi"/>
                              </w:rPr>
                            </w:pPr>
                          </w:p>
                          <w:p w14:paraId="7B091D73" w14:textId="77777777" w:rsidR="00062D14" w:rsidRPr="00491E48" w:rsidRDefault="00062D14">
                            <w:pPr>
                              <w:rPr>
                                <w:rFonts w:cstheme="majorHAnsi"/>
                              </w:rPr>
                            </w:pPr>
                            <w:r w:rsidRPr="00491E48">
                              <w:rPr>
                                <w:rFonts w:cstheme="majorHAnsi"/>
                              </w:rPr>
                              <w:t xml:space="preserve">The warehousing and storage industry is comprised mainly of businesses which </w:t>
                            </w:r>
                            <w:r>
                              <w:rPr>
                                <w:rFonts w:cstheme="majorHAnsi"/>
                              </w:rPr>
                              <w:t xml:space="preserve">own and lease </w:t>
                            </w:r>
                            <w:r w:rsidRPr="00491E48">
                              <w:rPr>
                                <w:rFonts w:cstheme="majorHAnsi"/>
                              </w:rPr>
                              <w:t xml:space="preserve">storage facilities which they operate in order to provide storage services for a diverse range of goods. Their main clients typically range from clothing and food retail stores, to manufacturing and third-party logistics (3PL) firms. Over the past few years, however, the main driving force behind industry growth has been the sharp increase in revenue of online retail, which is often logistically based in warehouses. Even though it is currently a relatively small piece in the overall makeup of the industry, online retail sales have </w:t>
                            </w:r>
                            <w:r>
                              <w:rPr>
                                <w:rFonts w:cstheme="majorHAnsi"/>
                              </w:rPr>
                              <w:t>played a growing role in the</w:t>
                            </w:r>
                            <w:r w:rsidRPr="00491E48">
                              <w:rPr>
                                <w:rFonts w:cstheme="majorHAnsi"/>
                              </w:rPr>
                              <w:t xml:space="preserve"> increased demand for storage space within the last</w:t>
                            </w:r>
                            <w:r>
                              <w:rPr>
                                <w:rFonts w:cstheme="majorHAnsi"/>
                              </w:rPr>
                              <w:t xml:space="preserve"> 10 years, with e-commerce related take up increasing from 3% in 2012 to 28% in 2018. Demand has also been augmented by the exceptional circumstance of </w:t>
                            </w:r>
                            <w:r w:rsidRPr="00491E48">
                              <w:rPr>
                                <w:rFonts w:cstheme="majorHAnsi"/>
                              </w:rPr>
                              <w:t>precautionary over-stocking by many pharmaceutical and manufacturing companies due to Brexit related uncertainty (</w:t>
                            </w:r>
                            <w:r>
                              <w:rPr>
                                <w:rFonts w:cstheme="majorHAnsi"/>
                              </w:rPr>
                              <w:t>primarily</w:t>
                            </w:r>
                            <w:r w:rsidRPr="00491E48">
                              <w:rPr>
                                <w:rFonts w:cstheme="majorHAnsi"/>
                              </w:rPr>
                              <w:t xml:space="preserve"> in 2016). As for the distribution of </w:t>
                            </w:r>
                            <w:r>
                              <w:rPr>
                                <w:rFonts w:cstheme="majorHAnsi"/>
                              </w:rPr>
                              <w:t>warehouses</w:t>
                            </w:r>
                            <w:r w:rsidRPr="00491E48">
                              <w:rPr>
                                <w:rFonts w:cstheme="majorHAnsi"/>
                              </w:rPr>
                              <w:t>, most storage facilities are located around populated areas and especially within what is known as the “Golden Triangle” at the centre of the country. This area is particularly sought after due to the fact that goods stored in warehouses within it can be distributed to 90% of the U.K population within 4 hours.</w:t>
                            </w:r>
                          </w:p>
                          <w:p w14:paraId="27BBAC7B" w14:textId="77777777" w:rsidR="00062D14" w:rsidRPr="00491E48" w:rsidRDefault="00062D14">
                            <w:pPr>
                              <w:rPr>
                                <w:rFonts w:cstheme="majorHAnsi"/>
                              </w:rPr>
                            </w:pPr>
                          </w:p>
                          <w:p w14:paraId="65D4AD25" w14:textId="77777777" w:rsidR="00062D14" w:rsidRPr="00491E48" w:rsidRDefault="00062D14" w:rsidP="00EF3E0B">
                            <w:pPr>
                              <w:jc w:val="both"/>
                              <w:rPr>
                                <w:rFonts w:cstheme="majorHAnsi"/>
                              </w:rPr>
                            </w:pPr>
                            <w:r w:rsidRPr="00491E48">
                              <w:rPr>
                                <w:rFonts w:cstheme="majorHAnsi"/>
                              </w:rPr>
                              <w:t xml:space="preserve">In the 5 years through to 2020, The warehousing and storage industry grew by a compound annual growth rate (CAGR) of 5.7%. The biggest spike during this time was in 2016, again, mainly relating to a response by many firms to Brexit uncertainty. This trend of over-stocking hasn’t necessarily gone away and might persist until the U. K’s position on trade with the E.U becomes clearer. For example, The Department of Health and Social Care have currently asked pharmaceutical companies to maintain a further 6 weeks supply. </w:t>
                            </w:r>
                          </w:p>
                          <w:p w14:paraId="2B0342B4" w14:textId="77777777" w:rsidR="00062D14" w:rsidRPr="00491E48" w:rsidRDefault="00062D14" w:rsidP="00EF3E0B">
                            <w:pPr>
                              <w:jc w:val="both"/>
                              <w:rPr>
                                <w:rFonts w:cstheme="majorHAnsi"/>
                              </w:rPr>
                            </w:pPr>
                          </w:p>
                          <w:p w14:paraId="3722BA33" w14:textId="77777777" w:rsidR="00062D14" w:rsidRPr="00491E48" w:rsidRDefault="00062D14" w:rsidP="004A3FC9">
                            <w:pPr>
                              <w:rPr>
                                <w:rFonts w:cstheme="majorHAnsi"/>
                                <w:u w:val="single"/>
                              </w:rPr>
                            </w:pPr>
                            <w:r w:rsidRPr="00491E48">
                              <w:rPr>
                                <w:rFonts w:cstheme="majorHAnsi"/>
                                <w:u w:val="single"/>
                              </w:rPr>
                              <w:t>Outlook</w:t>
                            </w:r>
                          </w:p>
                          <w:p w14:paraId="4A4E02F4" w14:textId="77777777" w:rsidR="00062D14" w:rsidRPr="00491E48" w:rsidRDefault="00062D14" w:rsidP="004A3FC9">
                            <w:pPr>
                              <w:rPr>
                                <w:rFonts w:cstheme="majorHAnsi"/>
                                <w:b/>
                                <w:bCs/>
                              </w:rPr>
                            </w:pPr>
                          </w:p>
                          <w:p w14:paraId="2DD42EF9" w14:textId="77777777" w:rsidR="00062D14" w:rsidRPr="00491E48" w:rsidRDefault="00062D14" w:rsidP="004A3FC9">
                            <w:pPr>
                              <w:jc w:val="both"/>
                              <w:rPr>
                                <w:rFonts w:cstheme="majorHAnsi"/>
                              </w:rPr>
                            </w:pPr>
                            <w:r w:rsidRPr="00491E48">
                              <w:rPr>
                                <w:rFonts w:cstheme="majorHAnsi"/>
                              </w:rPr>
                              <w:t xml:space="preserve">Overall the warehousing industry is expected to continue growing in the next 5 years, although at a slightly slower pace than in the previous 5. Some analysts predict a steady and consistent CAGR of 3.8% through to 2025. Contribution of the sector to the overall economy is also expected to grow within the next 10 years and outperform the </w:t>
                            </w:r>
                            <w:r>
                              <w:rPr>
                                <w:rFonts w:cstheme="majorHAnsi"/>
                              </w:rPr>
                              <w:t xml:space="preserve">general </w:t>
                            </w:r>
                            <w:r w:rsidRPr="00491E48">
                              <w:rPr>
                                <w:rFonts w:cstheme="majorHAnsi"/>
                              </w:rPr>
                              <w:t xml:space="preserve">economy on a value-added basis. </w:t>
                            </w:r>
                          </w:p>
                          <w:p w14:paraId="401AC240" w14:textId="77777777" w:rsidR="00062D14" w:rsidRPr="00491E48" w:rsidRDefault="00062D14" w:rsidP="004A3FC9">
                            <w:pPr>
                              <w:jc w:val="both"/>
                              <w:rPr>
                                <w:rFonts w:cstheme="majorHAnsi"/>
                              </w:rPr>
                            </w:pPr>
                            <w:r w:rsidRPr="00491E48">
                              <w:rPr>
                                <w:rFonts w:cstheme="majorHAnsi"/>
                              </w:rPr>
                              <w:t xml:space="preserve">The main driver for this growth will likely be a further increase in online expenditure, with companies such as </w:t>
                            </w:r>
                            <w:r>
                              <w:rPr>
                                <w:rFonts w:cstheme="majorHAnsi"/>
                              </w:rPr>
                              <w:t>U</w:t>
                            </w:r>
                            <w:r w:rsidRPr="00491E48">
                              <w:rPr>
                                <w:rFonts w:cstheme="majorHAnsi"/>
                              </w:rPr>
                              <w:t xml:space="preserve">rban </w:t>
                            </w:r>
                            <w:r>
                              <w:rPr>
                                <w:rFonts w:cstheme="majorHAnsi"/>
                              </w:rPr>
                              <w:t>L</w:t>
                            </w:r>
                            <w:r w:rsidRPr="00491E48">
                              <w:rPr>
                                <w:rFonts w:cstheme="majorHAnsi"/>
                              </w:rPr>
                              <w:t xml:space="preserve">ogistics forecasting online retail to account for up 25% of their storage capacity by 2022. </w:t>
                            </w:r>
                            <w:r>
                              <w:rPr>
                                <w:rFonts w:cstheme="majorHAnsi"/>
                              </w:rPr>
                              <w:t>F</w:t>
                            </w:r>
                            <w:r w:rsidRPr="00491E48">
                              <w:rPr>
                                <w:rFonts w:cstheme="majorHAnsi"/>
                              </w:rPr>
                              <w:t xml:space="preserve">actors </w:t>
                            </w:r>
                            <w:r>
                              <w:rPr>
                                <w:rFonts w:cstheme="majorHAnsi"/>
                              </w:rPr>
                              <w:t>that might</w:t>
                            </w:r>
                            <w:r w:rsidRPr="00491E48">
                              <w:rPr>
                                <w:rFonts w:cstheme="majorHAnsi"/>
                              </w:rPr>
                              <w:t xml:space="preserve"> impact the </w:t>
                            </w:r>
                            <w:r>
                              <w:rPr>
                                <w:rFonts w:cstheme="majorHAnsi"/>
                              </w:rPr>
                              <w:t xml:space="preserve">other </w:t>
                            </w:r>
                            <w:r w:rsidRPr="00491E48">
                              <w:rPr>
                                <w:rFonts w:cstheme="majorHAnsi"/>
                              </w:rPr>
                              <w:t>users of storage space</w:t>
                            </w:r>
                            <w:r>
                              <w:rPr>
                                <w:rFonts w:cstheme="majorHAnsi"/>
                              </w:rPr>
                              <w:t>,</w:t>
                            </w:r>
                            <w:r w:rsidRPr="00491E48">
                              <w:rPr>
                                <w:rFonts w:cstheme="majorHAnsi"/>
                              </w:rPr>
                              <w:t xml:space="preserve"> such as interest rates, consumer confidence, and </w:t>
                            </w:r>
                            <w:r>
                              <w:rPr>
                                <w:rFonts w:cstheme="majorHAnsi"/>
                              </w:rPr>
                              <w:t>trade fluctuations</w:t>
                            </w:r>
                            <w:r w:rsidRPr="00491E48">
                              <w:rPr>
                                <w:rFonts w:cstheme="majorHAnsi"/>
                              </w:rPr>
                              <w:t xml:space="preserve"> are somewhat mitigated by a trend towards longer term contracts which provide certainty for industry revenue. </w:t>
                            </w:r>
                          </w:p>
                          <w:p w14:paraId="5D9AE924" w14:textId="77777777" w:rsidR="00062D14" w:rsidRPr="00491E48" w:rsidRDefault="00062D14" w:rsidP="004A3FC9">
                            <w:pPr>
                              <w:jc w:val="both"/>
                              <w:rPr>
                                <w:rFonts w:cstheme="majorHAnsi"/>
                              </w:rPr>
                            </w:pPr>
                          </w:p>
                          <w:p w14:paraId="1AEEE664" w14:textId="77777777" w:rsidR="00062D14" w:rsidRPr="00F64F2C" w:rsidRDefault="00062D14" w:rsidP="00B43994">
                            <w:pPr>
                              <w:rPr>
                                <w:rFonts w:asciiTheme="majorHAnsi" w:hAnsiTheme="majorHAnsi" w:cstheme="majorHAnsi"/>
                              </w:rPr>
                            </w:pPr>
                            <w:r w:rsidRPr="00491E48">
                              <w:rPr>
                                <w:rFonts w:cstheme="majorHAnsi"/>
                              </w:rPr>
                              <w:t xml:space="preserve">The increasing importance of so called “last-mile” warehousing is a trend which is also likely to continue into the future for several reasons. While many of the companies who own these warehouses and storage facilities aren’t directly responsible for the distribution of the goods stored within them (although an increasing amount are), the distance between storage facility and delivery location is of prime concern for many of their clients. In a recent survey of senior UK Supply chain professionals, rising fuel costs were identified as one of the industry’s biggest challenges and 72% of these said that demand for shorter delivery times will continue to go up in the future. Additionally, in a 2017 manifesto, the U.K warehousing association released the following statement: “The exponential growth of online retailing coupled with the grocers </w:t>
                            </w:r>
                          </w:p>
                          <w:p w14:paraId="5A095BC6" w14:textId="77777777" w:rsidR="00062D14" w:rsidRDefault="00062D14" w:rsidP="00EF3E0B">
                            <w:pPr>
                              <w:pStyle w:val="ListParagraph"/>
                              <w:rPr>
                                <w:u w:val="single"/>
                              </w:rPr>
                            </w:pPr>
                          </w:p>
                          <w:p w14:paraId="3412A5C7" w14:textId="77777777" w:rsidR="00062D14" w:rsidRDefault="00062D14">
                            <w:pPr>
                              <w:rPr>
                                <w:rFonts w:asciiTheme="majorHAnsi" w:hAnsiTheme="majorHAnsi" w:cstheme="majorHAnsi"/>
                              </w:rPr>
                            </w:pPr>
                          </w:p>
                          <w:p w14:paraId="4A6E9DE2" w14:textId="77777777" w:rsidR="00062D14" w:rsidRDefault="00062D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952775" id="Text Box 39" o:spid="_x0000_s1035" type="#_x0000_t202" style="position:absolute;margin-left:1.1pt;margin-top:2.35pt;width:487.25pt;height:686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" fillcolor="white [3201]" stroked="f" strokeweight=".5pt">
                <v:textbox>
                  <w:txbxContent>
                    <w:p w14:paraId="6345BA83" w14:textId="77777777" w:rsidR="00062D14" w:rsidRPr="00491E48" w:rsidRDefault="00062D14" w:rsidP="00EF3E0B">
                      <w:pPr>
                        <w:rPr>
                          <w:rFonts w:cstheme="majorHAnsi"/>
                          <w:u w:val="single"/>
                        </w:rPr>
                      </w:pPr>
                      <w:r w:rsidRPr="00491E48">
                        <w:rPr>
                          <w:rFonts w:cstheme="majorHAnsi"/>
                          <w:u w:val="single"/>
                        </w:rPr>
                        <w:t>Industry Overview</w:t>
                      </w:r>
                    </w:p>
                    <w:p w14:paraId="051112C1" w14:textId="77777777" w:rsidR="00062D14" w:rsidRPr="00491E48" w:rsidRDefault="00062D14">
                      <w:pPr>
                        <w:rPr>
                          <w:rFonts w:cstheme="majorHAnsi"/>
                        </w:rPr>
                      </w:pPr>
                    </w:p>
                    <w:p w14:paraId="7B091D73" w14:textId="77777777" w:rsidR="00062D14" w:rsidRPr="00491E48" w:rsidRDefault="00062D14">
                      <w:pPr>
                        <w:rPr>
                          <w:rFonts w:cstheme="majorHAnsi"/>
                        </w:rPr>
                      </w:pPr>
                      <w:r w:rsidRPr="00491E48">
                        <w:rPr>
                          <w:rFonts w:cstheme="majorHAnsi"/>
                        </w:rPr>
                        <w:t xml:space="preserve">The warehousing and storage industry is comprised mainly of businesses which </w:t>
                      </w:r>
                      <w:r>
                        <w:rPr>
                          <w:rFonts w:cstheme="majorHAnsi"/>
                        </w:rPr>
                        <w:t xml:space="preserve">own and lease </w:t>
                      </w:r>
                      <w:r w:rsidRPr="00491E48">
                        <w:rPr>
                          <w:rFonts w:cstheme="majorHAnsi"/>
                        </w:rPr>
                        <w:t xml:space="preserve">storage facilities which they operate in order to provide storage services for a diverse range of goods. Their main clients typically range from clothing and food retail stores, to manufacturing and third-party logistics (3PL) firms. Over the past few years, however, the main driving force behind industry growth has been the sharp increase in revenue of online retail, which is often logistically based in warehouses. Even though it is currently a relatively small piece in the overall makeup of the industry, online retail sales have </w:t>
                      </w:r>
                      <w:r>
                        <w:rPr>
                          <w:rFonts w:cstheme="majorHAnsi"/>
                        </w:rPr>
                        <w:t>played a growing role in the</w:t>
                      </w:r>
                      <w:r w:rsidRPr="00491E48">
                        <w:rPr>
                          <w:rFonts w:cstheme="majorHAnsi"/>
                        </w:rPr>
                        <w:t xml:space="preserve"> increased demand for storage space within the last</w:t>
                      </w:r>
                      <w:r>
                        <w:rPr>
                          <w:rFonts w:cstheme="majorHAnsi"/>
                        </w:rPr>
                        <w:t xml:space="preserve"> 10 years, with e-commerce related take up increasing from 3% in 2012 to 28% in 2018. Demand has also been augmented by the exceptional circumstance of </w:t>
                      </w:r>
                      <w:r w:rsidRPr="00491E48">
                        <w:rPr>
                          <w:rFonts w:cstheme="majorHAnsi"/>
                        </w:rPr>
                        <w:t>precautionary over-stocking by many pharmaceutical and manufacturing companies due to Brexit related uncertainty (</w:t>
                      </w:r>
                      <w:r>
                        <w:rPr>
                          <w:rFonts w:cstheme="majorHAnsi"/>
                        </w:rPr>
                        <w:t>primarily</w:t>
                      </w:r>
                      <w:r w:rsidRPr="00491E48">
                        <w:rPr>
                          <w:rFonts w:cstheme="majorHAnsi"/>
                        </w:rPr>
                        <w:t xml:space="preserve"> in 2016). As for the distribution of </w:t>
                      </w:r>
                      <w:r>
                        <w:rPr>
                          <w:rFonts w:cstheme="majorHAnsi"/>
                        </w:rPr>
                        <w:t>warehouses</w:t>
                      </w:r>
                      <w:r w:rsidRPr="00491E48">
                        <w:rPr>
                          <w:rFonts w:cstheme="majorHAnsi"/>
                        </w:rPr>
                        <w:t>, most storage facilities are located around populated areas and especially within what is known as the “Golden Triangle” at the centre of the country. This area is particularly sought after due to the fact that goods stored in warehouses within it can be distributed to 90% of the U.K population within 4 hours.</w:t>
                      </w:r>
                    </w:p>
                    <w:p w14:paraId="27BBAC7B" w14:textId="77777777" w:rsidR="00062D14" w:rsidRPr="00491E48" w:rsidRDefault="00062D14">
                      <w:pPr>
                        <w:rPr>
                          <w:rFonts w:cstheme="majorHAnsi"/>
                        </w:rPr>
                      </w:pPr>
                    </w:p>
                    <w:p w14:paraId="65D4AD25" w14:textId="77777777" w:rsidR="00062D14" w:rsidRPr="00491E48" w:rsidRDefault="00062D14" w:rsidP="00EF3E0B">
                      <w:pPr>
                        <w:jc w:val="both"/>
                        <w:rPr>
                          <w:rFonts w:cstheme="majorHAnsi"/>
                        </w:rPr>
                      </w:pPr>
                      <w:r w:rsidRPr="00491E48">
                        <w:rPr>
                          <w:rFonts w:cstheme="majorHAnsi"/>
                        </w:rPr>
                        <w:t xml:space="preserve">In the 5 years through to 2020, The warehousing and storage industry grew by a compound annual growth rate (CAGR) of 5.7%. The biggest spike during this time was in 2016, again, mainly relating to a response by many firms to Brexit uncertainty. This trend of over-stocking hasn’t necessarily gone away and might persist until the U. K’s position on trade with the E.U becomes clearer. For example, The Department of Health and Social Care have currently asked pharmaceutical companies to maintain a further 6 weeks supply. </w:t>
                      </w:r>
                    </w:p>
                    <w:p w14:paraId="2B0342B4" w14:textId="77777777" w:rsidR="00062D14" w:rsidRPr="00491E48" w:rsidRDefault="00062D14" w:rsidP="00EF3E0B">
                      <w:pPr>
                        <w:jc w:val="both"/>
                        <w:rPr>
                          <w:rFonts w:cstheme="majorHAnsi"/>
                        </w:rPr>
                      </w:pPr>
                    </w:p>
                    <w:p w14:paraId="3722BA33" w14:textId="77777777" w:rsidR="00062D14" w:rsidRPr="00491E48" w:rsidRDefault="00062D14" w:rsidP="004A3FC9">
                      <w:pPr>
                        <w:rPr>
                          <w:rFonts w:cstheme="majorHAnsi"/>
                          <w:u w:val="single"/>
                        </w:rPr>
                      </w:pPr>
                      <w:r w:rsidRPr="00491E48">
                        <w:rPr>
                          <w:rFonts w:cstheme="majorHAnsi"/>
                          <w:u w:val="single"/>
                        </w:rPr>
                        <w:t>Outlook</w:t>
                      </w:r>
                    </w:p>
                    <w:p w14:paraId="4A4E02F4" w14:textId="77777777" w:rsidR="00062D14" w:rsidRPr="00491E48" w:rsidRDefault="00062D14" w:rsidP="004A3FC9">
                      <w:pPr>
                        <w:rPr>
                          <w:rFonts w:cstheme="majorHAnsi"/>
                          <w:b/>
                          <w:bCs/>
                        </w:rPr>
                      </w:pPr>
                    </w:p>
                    <w:p w14:paraId="2DD42EF9" w14:textId="77777777" w:rsidR="00062D14" w:rsidRPr="00491E48" w:rsidRDefault="00062D14" w:rsidP="004A3FC9">
                      <w:pPr>
                        <w:jc w:val="both"/>
                        <w:rPr>
                          <w:rFonts w:cstheme="majorHAnsi"/>
                        </w:rPr>
                      </w:pPr>
                      <w:r w:rsidRPr="00491E48">
                        <w:rPr>
                          <w:rFonts w:cstheme="majorHAnsi"/>
                        </w:rPr>
                        <w:t xml:space="preserve">Overall the warehousing industry is expected to continue growing in the next 5 years, although at a slightly slower pace than in the previous 5. Some analysts predict a steady and consistent CAGR of 3.8% through to 2025. Contribution of the sector to the overall economy is also expected to grow within the next 10 years and outperform the </w:t>
                      </w:r>
                      <w:r>
                        <w:rPr>
                          <w:rFonts w:cstheme="majorHAnsi"/>
                        </w:rPr>
                        <w:t xml:space="preserve">general </w:t>
                      </w:r>
                      <w:r w:rsidRPr="00491E48">
                        <w:rPr>
                          <w:rFonts w:cstheme="majorHAnsi"/>
                        </w:rPr>
                        <w:t xml:space="preserve">economy on a value-added basis. </w:t>
                      </w:r>
                    </w:p>
                    <w:p w14:paraId="401AC240" w14:textId="77777777" w:rsidR="00062D14" w:rsidRPr="00491E48" w:rsidRDefault="00062D14" w:rsidP="004A3FC9">
                      <w:pPr>
                        <w:jc w:val="both"/>
                        <w:rPr>
                          <w:rFonts w:cstheme="majorHAnsi"/>
                        </w:rPr>
                      </w:pPr>
                      <w:r w:rsidRPr="00491E48">
                        <w:rPr>
                          <w:rFonts w:cstheme="majorHAnsi"/>
                        </w:rPr>
                        <w:t xml:space="preserve">The main driver for this growth will likely be a further increase in online expenditure, with companies such as </w:t>
                      </w:r>
                      <w:r>
                        <w:rPr>
                          <w:rFonts w:cstheme="majorHAnsi"/>
                        </w:rPr>
                        <w:t>U</w:t>
                      </w:r>
                      <w:r w:rsidRPr="00491E48">
                        <w:rPr>
                          <w:rFonts w:cstheme="majorHAnsi"/>
                        </w:rPr>
                        <w:t xml:space="preserve">rban </w:t>
                      </w:r>
                      <w:r>
                        <w:rPr>
                          <w:rFonts w:cstheme="majorHAnsi"/>
                        </w:rPr>
                        <w:t>L</w:t>
                      </w:r>
                      <w:r w:rsidRPr="00491E48">
                        <w:rPr>
                          <w:rFonts w:cstheme="majorHAnsi"/>
                        </w:rPr>
                        <w:t xml:space="preserve">ogistics forecasting online retail to account for up 25% of their storage capacity by 2022. </w:t>
                      </w:r>
                      <w:r>
                        <w:rPr>
                          <w:rFonts w:cstheme="majorHAnsi"/>
                        </w:rPr>
                        <w:t>F</w:t>
                      </w:r>
                      <w:r w:rsidRPr="00491E48">
                        <w:rPr>
                          <w:rFonts w:cstheme="majorHAnsi"/>
                        </w:rPr>
                        <w:t xml:space="preserve">actors </w:t>
                      </w:r>
                      <w:r>
                        <w:rPr>
                          <w:rFonts w:cstheme="majorHAnsi"/>
                        </w:rPr>
                        <w:t>that might</w:t>
                      </w:r>
                      <w:r w:rsidRPr="00491E48">
                        <w:rPr>
                          <w:rFonts w:cstheme="majorHAnsi"/>
                        </w:rPr>
                        <w:t xml:space="preserve"> impact the </w:t>
                      </w:r>
                      <w:r>
                        <w:rPr>
                          <w:rFonts w:cstheme="majorHAnsi"/>
                        </w:rPr>
                        <w:t xml:space="preserve">other </w:t>
                      </w:r>
                      <w:r w:rsidRPr="00491E48">
                        <w:rPr>
                          <w:rFonts w:cstheme="majorHAnsi"/>
                        </w:rPr>
                        <w:t>users of storage space</w:t>
                      </w:r>
                      <w:r>
                        <w:rPr>
                          <w:rFonts w:cstheme="majorHAnsi"/>
                        </w:rPr>
                        <w:t>,</w:t>
                      </w:r>
                      <w:r w:rsidRPr="00491E48">
                        <w:rPr>
                          <w:rFonts w:cstheme="majorHAnsi"/>
                        </w:rPr>
                        <w:t xml:space="preserve"> such as interest rates, consumer confidence, and </w:t>
                      </w:r>
                      <w:r>
                        <w:rPr>
                          <w:rFonts w:cstheme="majorHAnsi"/>
                        </w:rPr>
                        <w:t>trade fluctuations</w:t>
                      </w:r>
                      <w:r w:rsidRPr="00491E48">
                        <w:rPr>
                          <w:rFonts w:cstheme="majorHAnsi"/>
                        </w:rPr>
                        <w:t xml:space="preserve"> are somewhat mitigated by a trend towards longer term contracts which provide certainty for industry revenue. </w:t>
                      </w:r>
                    </w:p>
                    <w:p w14:paraId="5D9AE924" w14:textId="77777777" w:rsidR="00062D14" w:rsidRPr="00491E48" w:rsidRDefault="00062D14" w:rsidP="004A3FC9">
                      <w:pPr>
                        <w:jc w:val="both"/>
                        <w:rPr>
                          <w:rFonts w:cstheme="majorHAnsi"/>
                        </w:rPr>
                      </w:pPr>
                    </w:p>
                    <w:p w14:paraId="1AEEE664" w14:textId="77777777" w:rsidR="00062D14" w:rsidRPr="00F64F2C" w:rsidRDefault="00062D14" w:rsidP="00B43994">
                      <w:pPr>
                        <w:rPr>
                          <w:rFonts w:asciiTheme="majorHAnsi" w:hAnsiTheme="majorHAnsi" w:cstheme="majorHAnsi"/>
                        </w:rPr>
                      </w:pPr>
                      <w:r w:rsidRPr="00491E48">
                        <w:rPr>
                          <w:rFonts w:cstheme="majorHAnsi"/>
                        </w:rPr>
                        <w:t xml:space="preserve">The increasing importance of so called “last-mile” warehousing is a trend which is also likely to continue into the future for several reasons. While many of the companies who own these warehouses and storage facilities aren’t directly responsible for the distribution of the goods stored within them (although an increasing amount are), the distance between storage facility and delivery location is of prime concern for many of their clients. In a recent survey of senior UK Supply chain professionals, rising fuel costs were identified as one of the industry’s biggest challenges and 72% of these said that demand for shorter delivery times will continue to go up in the future. Additionally, in a 2017 manifesto, the U.K warehousing association released the following statement: “The exponential growth of online retailing coupled with the grocers </w:t>
                      </w:r>
                    </w:p>
                    <w:p w14:paraId="5A095BC6" w14:textId="77777777" w:rsidR="00062D14" w:rsidRDefault="00062D14" w:rsidP="00EF3E0B">
                      <w:pPr>
                        <w:pStyle w:val="ListParagraph"/>
                        <w:rPr>
                          <w:u w:val="single"/>
                        </w:rPr>
                      </w:pPr>
                    </w:p>
                    <w:p w14:paraId="3412A5C7" w14:textId="77777777" w:rsidR="00062D14" w:rsidRDefault="00062D14">
                      <w:pPr>
                        <w:rPr>
                          <w:rFonts w:asciiTheme="majorHAnsi" w:hAnsiTheme="majorHAnsi" w:cstheme="majorHAnsi"/>
                        </w:rPr>
                      </w:pPr>
                    </w:p>
                    <w:p w14:paraId="4A6E9DE2" w14:textId="77777777" w:rsidR="00062D14" w:rsidRDefault="00062D14"/>
                  </w:txbxContent>
                </v:textbox>
              </v:shape>
            </w:pict>
          </mc:Fallback>
        </mc:AlternateContent>
      </w:r>
    </w:p>
    <w:p w14:paraId="33AEDDFB" w14:textId="77777777" w:rsidR="00377F7E" w:rsidRDefault="00377F7E" w:rsidP="00377F7E">
      <w:pPr>
        <w:spacing w:line="235" w:lineRule="auto"/>
        <w:ind w:right="-20"/>
        <w:rPr>
          <w:rFonts w:ascii="Calibri" w:eastAsia="Calibri" w:hAnsi="Calibri" w:cs="Calibri"/>
        </w:rPr>
      </w:pPr>
    </w:p>
    <w:p w14:paraId="5686C352" w14:textId="77777777" w:rsidR="00901EB5" w:rsidRDefault="00901EB5">
      <w:pPr>
        <w:spacing w:line="240" w:lineRule="exact"/>
        <w:rPr>
          <w:rFonts w:ascii="Calibri" w:eastAsia="Calibri" w:hAnsi="Calibri" w:cs="Calibri"/>
        </w:rPr>
      </w:pPr>
    </w:p>
    <w:p w14:paraId="0AFFF22A" w14:textId="77777777" w:rsidR="00901EB5" w:rsidRDefault="00C74465">
      <w:pPr>
        <w:spacing w:line="240" w:lineRule="exact"/>
        <w:rPr>
          <w:rFonts w:ascii="Calibri" w:eastAsia="Calibri" w:hAnsi="Calibri" w:cs="Calibri"/>
        </w:rPr>
      </w:pPr>
      <w:r>
        <w:rPr>
          <w:noProof/>
        </w:rPr>
        <mc:AlternateContent>
          <mc:Choice Requires="wps">
            <w:drawing>
              <wp:anchor distT="0" distB="0" distL="0" distR="0" simplePos="0" relativeHeight="251741696" behindDoc="1" locked="0" layoutInCell="0" allowOverlap="1" wp14:anchorId="2BBC9E05" wp14:editId="7E06FDEE">
                <wp:simplePos x="0" y="0"/>
                <wp:positionH relativeFrom="page">
                  <wp:posOffset>14163</wp:posOffset>
                </wp:positionH>
                <wp:positionV relativeFrom="page">
                  <wp:posOffset>9573332</wp:posOffset>
                </wp:positionV>
                <wp:extent cx="6858000" cy="0"/>
                <wp:effectExtent l="0" t="0" r="0" b="0"/>
                <wp:wrapNone/>
                <wp:docPr id="43" name="drawingObject44"/>
                <wp:cNvGraphicFramePr/>
                <a:graphic xmlns:a="http://schemas.openxmlformats.org/drawingml/2006/main">
                  <a:graphicData uri="http://schemas.microsoft.com/office/word/2010/wordprocessingShape">
                    <wps:wsp>
                      <wps:cNvSpPr/>
                      <wps:spPr>
                        <a:xfrm>
                          <a:off x="0" y="0"/>
                          <a:ext cx="6858000" cy="0"/>
                        </a:xfrm>
                        <a:custGeom>
                          <a:avLst/>
                          <a:gdLst/>
                          <a:ahLst/>
                          <a:cxnLst/>
                          <a:rect l="0" t="0" r="0" b="0"/>
                          <a:pathLst>
                            <a:path w="6858000">
                              <a:moveTo>
                                <a:pt x="0" y="0"/>
                              </a:moveTo>
                              <a:lnTo>
                                <a:pt x="6858000" y="0"/>
                              </a:lnTo>
                            </a:path>
                          </a:pathLst>
                        </a:custGeom>
                        <a:noFill/>
                        <a:ln w="6350" cap="flat">
                          <a:solidFill>
                            <a:srgbClr val="1F4E79"/>
                          </a:solidFill>
                          <a:prstDash/>
                        </a:ln>
                      </wps:spPr>
                      <wps:bodyPr vertOverflow="overflow" horzOverflow="overflow" vert="horz" lIns="91440" tIns="45720" rIns="91440" bIns="45720" anchor="t"/>
                    </wps:wsp>
                  </a:graphicData>
                </a:graphic>
              </wp:anchor>
            </w:drawing>
          </mc:Choice>
          <mc:Fallback>
            <w:pict>
              <v:shape w14:anchorId="4406FD11" id="drawingObject44" o:spid="_x0000_s1026" style="position:absolute;margin-left:1.1pt;margin-top:753.8pt;width:540pt;height:0;z-index:-251574784;visibility:visible;mso-wrap-style:square;mso-wrap-distance-left:0;mso-wrap-distance-top:0;mso-wrap-distance-right:0;mso-wrap-distance-bottom:0;mso-position-horizontal:absolute;mso-position-horizontal-relative:page;mso-position-vertical:absolute;mso-position-vertical-relative:page;v-text-anchor:top" coordsize="6858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" o:allowincell="f" path="m,l6858000,e" filled="f" strokecolor="#1f4e79" strokeweight=".5pt">
                <v:path arrowok="t" textboxrect="0,0,6858000,0"/>
                <w10:wrap anchorx="page" anchory="page"/>
              </v:shape>
            </w:pict>
          </mc:Fallback>
        </mc:AlternateContent>
      </w:r>
    </w:p>
    <w:p w14:paraId="17F9F2C7" w14:textId="77777777" w:rsidR="00901EB5" w:rsidRDefault="00901EB5"/>
    <w:p w14:paraId="6AE374A3" w14:textId="77777777" w:rsidR="00EF3E0B" w:rsidRDefault="00EF3E0B"/>
    <w:p w14:paraId="32FE81D5" w14:textId="77777777" w:rsidR="00EF3E0B" w:rsidRDefault="00EF3E0B"/>
    <w:p w14:paraId="68C7A284" w14:textId="77777777" w:rsidR="00EF3E0B" w:rsidRDefault="00EF3E0B"/>
    <w:p w14:paraId="4DB28F7F" w14:textId="77777777" w:rsidR="00EF3E0B" w:rsidRDefault="00EF3E0B"/>
    <w:p w14:paraId="5637EA67" w14:textId="77777777" w:rsidR="00EF3E0B" w:rsidRDefault="00EF3E0B"/>
    <w:p w14:paraId="3A286781" w14:textId="77777777" w:rsidR="00EF3E0B" w:rsidRDefault="00EF3E0B"/>
    <w:p w14:paraId="3B17A3E5" w14:textId="77777777" w:rsidR="00EF3E0B" w:rsidRDefault="00EF3E0B"/>
    <w:p w14:paraId="14F74E7A" w14:textId="77777777" w:rsidR="00EF3E0B" w:rsidRDefault="00EF3E0B"/>
    <w:p w14:paraId="6E8A6054" w14:textId="77777777" w:rsidR="00EF3E0B" w:rsidRDefault="00EF3E0B"/>
    <w:p w14:paraId="4D9E77B1" w14:textId="77777777" w:rsidR="00EF3E0B" w:rsidRDefault="00EF3E0B"/>
    <w:p w14:paraId="5362A0D5" w14:textId="77777777" w:rsidR="00EF3E0B" w:rsidRDefault="00EF3E0B"/>
    <w:p w14:paraId="09C0FBED" w14:textId="77777777" w:rsidR="00EF3E0B" w:rsidRDefault="00EF3E0B"/>
    <w:p w14:paraId="4B8D5FD4" w14:textId="77777777" w:rsidR="00EF3E0B" w:rsidRDefault="00EF3E0B"/>
    <w:p w14:paraId="09A232B8" w14:textId="77777777" w:rsidR="00EF3E0B" w:rsidRDefault="00EF3E0B"/>
    <w:p w14:paraId="2E806322" w14:textId="77777777" w:rsidR="00EF3E0B" w:rsidRDefault="00EF3E0B"/>
    <w:p w14:paraId="0E67E23A" w14:textId="77777777" w:rsidR="00EF3E0B" w:rsidRDefault="00EF3E0B"/>
    <w:p w14:paraId="425E7A80" w14:textId="77777777" w:rsidR="00EF3E0B" w:rsidRDefault="00EF3E0B"/>
    <w:p w14:paraId="3D8E5984" w14:textId="77777777" w:rsidR="00EF3E0B" w:rsidRDefault="00EF3E0B"/>
    <w:p w14:paraId="190CEEB4" w14:textId="77777777" w:rsidR="00EF3E0B" w:rsidRDefault="00EF3E0B"/>
    <w:p w14:paraId="202E2963" w14:textId="77777777" w:rsidR="00EF3E0B" w:rsidRDefault="00EF3E0B"/>
    <w:p w14:paraId="25F68512" w14:textId="77777777" w:rsidR="00EF3E0B" w:rsidRDefault="00EF3E0B"/>
    <w:p w14:paraId="7D5BCFAA" w14:textId="77777777" w:rsidR="00EF3E0B" w:rsidRDefault="00EF3E0B"/>
    <w:p w14:paraId="463A9B94" w14:textId="77777777" w:rsidR="00EF3E0B" w:rsidRDefault="00EF3E0B"/>
    <w:p w14:paraId="516F491E" w14:textId="77777777" w:rsidR="00EF3E0B" w:rsidRDefault="00EF3E0B"/>
    <w:p w14:paraId="3554E143" w14:textId="77777777" w:rsidR="00EF3E0B" w:rsidRDefault="00EF3E0B"/>
    <w:p w14:paraId="14528742" w14:textId="77777777" w:rsidR="00EF3E0B" w:rsidRDefault="00EF3E0B"/>
    <w:p w14:paraId="3D1BA021" w14:textId="77777777" w:rsidR="00EF3E0B" w:rsidRDefault="00EF3E0B"/>
    <w:p w14:paraId="67DAF1D2" w14:textId="77777777" w:rsidR="00EF3E0B" w:rsidRDefault="00EF3E0B"/>
    <w:p w14:paraId="557BEB57" w14:textId="77777777" w:rsidR="00EF3E0B" w:rsidRDefault="00EF3E0B"/>
    <w:p w14:paraId="0E005195" w14:textId="77777777" w:rsidR="00EF3E0B" w:rsidRDefault="00EF3E0B"/>
    <w:p w14:paraId="3D4686F6" w14:textId="77777777" w:rsidR="00EF3E0B" w:rsidRDefault="00EF3E0B"/>
    <w:p w14:paraId="55B4704B" w14:textId="77777777" w:rsidR="00EF3E0B" w:rsidRDefault="00EF3E0B"/>
    <w:p w14:paraId="0644E0CA" w14:textId="77777777" w:rsidR="00EF3E0B" w:rsidRDefault="00EF3E0B"/>
    <w:p w14:paraId="1B705C4F" w14:textId="77777777" w:rsidR="00EF3E0B" w:rsidRDefault="00EF3E0B"/>
    <w:p w14:paraId="4091FBA5" w14:textId="77777777" w:rsidR="00EF3E0B" w:rsidRDefault="00EF3E0B"/>
    <w:p w14:paraId="3B6FC494" w14:textId="77777777" w:rsidR="00EF3E0B" w:rsidRDefault="00EF3E0B"/>
    <w:p w14:paraId="49D54139" w14:textId="77777777" w:rsidR="00EF3E0B" w:rsidRDefault="00EF3E0B"/>
    <w:p w14:paraId="15341149" w14:textId="77777777" w:rsidR="00EF3E0B" w:rsidRDefault="00EF3E0B"/>
    <w:p w14:paraId="0987CE60" w14:textId="77777777" w:rsidR="00EF3E0B" w:rsidRDefault="00EF3E0B"/>
    <w:p w14:paraId="3A04FCD6" w14:textId="77777777" w:rsidR="00EF3E0B" w:rsidRDefault="00EF3E0B"/>
    <w:p w14:paraId="6C646DEA" w14:textId="77777777" w:rsidR="00EF3E0B" w:rsidRDefault="00EF3E0B"/>
    <w:p w14:paraId="63D9917B" w14:textId="77777777" w:rsidR="00EF3E0B" w:rsidRDefault="00EF3E0B"/>
    <w:p w14:paraId="2CAF160B" w14:textId="77777777" w:rsidR="00EF3E0B" w:rsidRDefault="00EF3E0B">
      <w:r>
        <w:rPr>
          <w:noProof/>
        </w:rPr>
        <w:lastRenderedPageBreak/>
        <mc:AlternateContent>
          <mc:Choice Requires="wps">
            <w:drawing>
              <wp:anchor distT="0" distB="0" distL="114300" distR="114300" simplePos="0" relativeHeight="251761152" behindDoc="0" locked="0" layoutInCell="1" allowOverlap="1" wp14:anchorId="6D4884AD" wp14:editId="26666A3B">
                <wp:simplePos x="0" y="0"/>
                <wp:positionH relativeFrom="column">
                  <wp:posOffset>77470</wp:posOffset>
                </wp:positionH>
                <wp:positionV relativeFrom="paragraph">
                  <wp:posOffset>54609</wp:posOffset>
                </wp:positionV>
                <wp:extent cx="6113721" cy="7653867"/>
                <wp:effectExtent l="0" t="0" r="1905" b="4445"/>
                <wp:wrapNone/>
                <wp:docPr id="40" name="Text Box 40"/>
                <wp:cNvGraphicFramePr/>
                <a:graphic xmlns:a="http://schemas.openxmlformats.org/drawingml/2006/main">
                  <a:graphicData uri="http://schemas.microsoft.com/office/word/2010/wordprocessingShape">
                    <wps:wsp>
                      <wps:cNvSpPr txBox="1"/>
                      <wps:spPr>
                        <a:xfrm>
                          <a:off x="0" y="0"/>
                          <a:ext cx="6113721" cy="7653867"/>
                        </a:xfrm>
                        <a:prstGeom prst="rect">
                          <a:avLst/>
                        </a:prstGeom>
                        <a:solidFill>
                          <a:schemeClr val="lt1"/>
                        </a:solidFill>
                        <a:ln w="6350">
                          <a:noFill/>
                        </a:ln>
                      </wps:spPr>
                      <wps:txbx>
                        <w:txbxContent>
                          <w:p w14:paraId="25CE297A" w14:textId="77777777" w:rsidR="00062D14" w:rsidRPr="00491E48" w:rsidRDefault="00062D14" w:rsidP="004A3FC9">
                            <w:pPr>
                              <w:rPr>
                                <w:rFonts w:cstheme="majorHAnsi"/>
                              </w:rPr>
                            </w:pPr>
                            <w:r w:rsidRPr="00491E48">
                              <w:rPr>
                                <w:rFonts w:cstheme="majorHAnsi"/>
                              </w:rPr>
                              <w:t>refocus on convenience food retail, especially in urban locations, means more warehouse space will be required in and around conurbations to replenish stock in the time frames required”.</w:t>
                            </w:r>
                            <w:r>
                              <w:rPr>
                                <w:rFonts w:cstheme="majorHAnsi"/>
                              </w:rPr>
                              <w:t xml:space="preserve"> </w:t>
                            </w:r>
                            <w:r w:rsidRPr="00491E48">
                              <w:rPr>
                                <w:rFonts w:cstheme="majorHAnsi"/>
                              </w:rPr>
                              <w:t xml:space="preserve">Combining this with the increase in demand for same day and next-day delivery services, the importance of “last mile” warehouses, with their close proximity to urban areas, becomes apparent.  </w:t>
                            </w:r>
                          </w:p>
                          <w:p w14:paraId="7119FF4A" w14:textId="77777777" w:rsidR="00062D14" w:rsidRPr="00491E48" w:rsidRDefault="00062D14" w:rsidP="00EF3E0B">
                            <w:pPr>
                              <w:rPr>
                                <w:rFonts w:cstheme="majorHAnsi"/>
                              </w:rPr>
                            </w:pPr>
                          </w:p>
                          <w:p w14:paraId="0D63AF26" w14:textId="77777777" w:rsidR="00062D14" w:rsidRPr="00491E48" w:rsidRDefault="00062D14" w:rsidP="004A3FC9">
                            <w:pPr>
                              <w:jc w:val="both"/>
                            </w:pPr>
                          </w:p>
                          <w:p w14:paraId="4443029F" w14:textId="77777777" w:rsidR="00062D14" w:rsidRPr="00491E48" w:rsidRDefault="00062D14" w:rsidP="004A3FC9">
                            <w:pPr>
                              <w:rPr>
                                <w:rFonts w:cstheme="majorHAnsi"/>
                                <w:u w:val="single"/>
                              </w:rPr>
                            </w:pPr>
                            <w:r w:rsidRPr="00491E48">
                              <w:rPr>
                                <w:rFonts w:cstheme="majorHAnsi"/>
                                <w:u w:val="single"/>
                              </w:rPr>
                              <w:t xml:space="preserve">Main challenges facing the Industry </w:t>
                            </w:r>
                          </w:p>
                          <w:p w14:paraId="59C861FB" w14:textId="77777777" w:rsidR="00062D14" w:rsidRPr="00491E48" w:rsidRDefault="00062D14" w:rsidP="00EF3E0B">
                            <w:pPr>
                              <w:rPr>
                                <w:rFonts w:cstheme="majorHAnsi"/>
                              </w:rPr>
                            </w:pPr>
                          </w:p>
                          <w:p w14:paraId="7763BA50" w14:textId="77777777" w:rsidR="00062D14" w:rsidRPr="00491E48" w:rsidRDefault="00062D14" w:rsidP="00EF3E0B">
                            <w:pPr>
                              <w:jc w:val="both"/>
                              <w:rPr>
                                <w:rFonts w:cstheme="majorHAnsi"/>
                              </w:rPr>
                            </w:pPr>
                            <w:r w:rsidRPr="00491E48">
                              <w:rPr>
                                <w:rFonts w:cstheme="majorHAnsi"/>
                              </w:rPr>
                              <w:t>One of the key issues currently facing the warehousing industry is the lack of available warehouse space and land for further development. Supply of existing warehouse space dropped by 71% from 2009 to 2016, as the economic downturn saw the financing and development of these properties sharply decrease. As a consequence of this, stock was not replenished once occupiers were found. In general, warehousing supply tends to lag behind demand. Industry expert Savills predicts that based on current supply levels and long-term average take up levels, most regions in the U.K have less than a year’s worth of supply left. This situation seems to be aggravated by the U. K’s rising population which Is forcing the government to develop an increasing number of homes around urban areas (their goal is 240,000 homes per year), and which leads them to designate an increasing amount of land around urban areas to residential zoning. This indicates a clear need for increased government support for the industry</w:t>
                            </w:r>
                            <w:r>
                              <w:rPr>
                                <w:rFonts w:cstheme="majorHAnsi"/>
                              </w:rPr>
                              <w:t>,</w:t>
                            </w:r>
                            <w:r w:rsidRPr="00491E48">
                              <w:rPr>
                                <w:rFonts w:cstheme="majorHAnsi"/>
                              </w:rPr>
                              <w:t xml:space="preserve"> not only in the form of logistics-friendly Brexit terms, but especially in the insurance of a continued supply of warehousing units and land available for warehouse development schemes. High quality and affordable warehouse space is becoming increasingly rare, with “last-mile” warehousing space being especially limited due to the compounding effect of all the factors mentioned previously. </w:t>
                            </w:r>
                          </w:p>
                          <w:p w14:paraId="47EF90FD" w14:textId="77777777" w:rsidR="00062D14" w:rsidRPr="00491E48" w:rsidRDefault="00062D14" w:rsidP="00EF3E0B">
                            <w:pPr>
                              <w:rPr>
                                <w:u w:val="single"/>
                              </w:rPr>
                            </w:pPr>
                          </w:p>
                          <w:p w14:paraId="4C9A128D" w14:textId="77777777" w:rsidR="00062D14" w:rsidRPr="00491E48" w:rsidRDefault="00062D14" w:rsidP="00EF3E0B">
                            <w:pPr>
                              <w:rPr>
                                <w:rFonts w:cstheme="majorHAnsi"/>
                                <w:u w:val="single"/>
                              </w:rPr>
                            </w:pPr>
                            <w:r w:rsidRPr="00491E48">
                              <w:rPr>
                                <w:rFonts w:cstheme="majorHAnsi"/>
                                <w:u w:val="single"/>
                              </w:rPr>
                              <w:t>Final Remarks</w:t>
                            </w:r>
                          </w:p>
                          <w:p w14:paraId="4DC6807E" w14:textId="77777777" w:rsidR="00062D14" w:rsidRPr="00491E48" w:rsidRDefault="00062D14" w:rsidP="00EF3E0B">
                            <w:pPr>
                              <w:rPr>
                                <w:rFonts w:cstheme="majorHAnsi"/>
                              </w:rPr>
                            </w:pPr>
                          </w:p>
                          <w:p w14:paraId="533C305F" w14:textId="77777777" w:rsidR="00062D14" w:rsidRPr="00491E48" w:rsidRDefault="00062D14" w:rsidP="00EF3E0B">
                            <w:pPr>
                              <w:jc w:val="both"/>
                              <w:rPr>
                                <w:u w:val="single"/>
                              </w:rPr>
                            </w:pPr>
                            <w:r w:rsidRPr="00491E48">
                              <w:rPr>
                                <w:rFonts w:cstheme="majorHAnsi"/>
                              </w:rPr>
                              <w:t xml:space="preserve">Overall, the U. K’s warehousing industry, propped up by the rapidly increasing demand for online retail sales, will seemingly continue to grow for the next several years. Despite the potential negative impacts </w:t>
                            </w:r>
                            <w:r>
                              <w:rPr>
                                <w:rFonts w:cstheme="majorHAnsi"/>
                              </w:rPr>
                              <w:t>of</w:t>
                            </w:r>
                            <w:r w:rsidRPr="00491E48">
                              <w:rPr>
                                <w:rFonts w:cstheme="majorHAnsi"/>
                              </w:rPr>
                              <w:t xml:space="preserve"> Brexit on the manufacturing and logistics sector, the solvency and profitability of the warehousing industry will likely remain intact thanks to growing demand and longer-term tenancy agreements which are common in the industry. The issue of limited and deficient supply will likely play a key role in the coming years if steps aren’t taken by the U.K government to ensure the availability of further land for development of warehouses surrounding urban areas. However, this lack of supply will likely put upward pressure on rents and present a competitive advantage for those firms who have already positioned their warehouses in locations which are key distribution points into local urban areas, and especially those which fall under the category of “last-mile” warehouses. </w:t>
                            </w:r>
                          </w:p>
                          <w:p w14:paraId="47189B1B" w14:textId="77777777" w:rsidR="00062D14" w:rsidRDefault="00062D14" w:rsidP="00EF3E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4884AD" id="Text Box 40" o:spid="_x0000_s1036" type="#_x0000_t202" style="position:absolute;margin-left:6.1pt;margin-top:4.3pt;width:481.4pt;height:602.65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" fillcolor="white [3201]" stroked="f" strokeweight=".5pt">
                <v:textbox>
                  <w:txbxContent>
                    <w:p w14:paraId="25CE297A" w14:textId="77777777" w:rsidR="00062D14" w:rsidRPr="00491E48" w:rsidRDefault="00062D14" w:rsidP="004A3FC9">
                      <w:pPr>
                        <w:rPr>
                          <w:rFonts w:cstheme="majorHAnsi"/>
                        </w:rPr>
                      </w:pPr>
                      <w:r w:rsidRPr="00491E48">
                        <w:rPr>
                          <w:rFonts w:cstheme="majorHAnsi"/>
                        </w:rPr>
                        <w:t>refocus on convenience food retail, especially in urban locations, means more warehouse space will be required in and around conurbations to replenish stock in the time frames required”.</w:t>
                      </w:r>
                      <w:r>
                        <w:rPr>
                          <w:rFonts w:cstheme="majorHAnsi"/>
                        </w:rPr>
                        <w:t xml:space="preserve"> </w:t>
                      </w:r>
                      <w:r w:rsidRPr="00491E48">
                        <w:rPr>
                          <w:rFonts w:cstheme="majorHAnsi"/>
                        </w:rPr>
                        <w:t xml:space="preserve">Combining this with the increase in demand for same day and next-day delivery services, the importance of “last mile” warehouses, with their close proximity to urban areas, becomes apparent.  </w:t>
                      </w:r>
                    </w:p>
                    <w:p w14:paraId="7119FF4A" w14:textId="77777777" w:rsidR="00062D14" w:rsidRPr="00491E48" w:rsidRDefault="00062D14" w:rsidP="00EF3E0B">
                      <w:pPr>
                        <w:rPr>
                          <w:rFonts w:cstheme="majorHAnsi"/>
                        </w:rPr>
                      </w:pPr>
                    </w:p>
                    <w:p w14:paraId="0D63AF26" w14:textId="77777777" w:rsidR="00062D14" w:rsidRPr="00491E48" w:rsidRDefault="00062D14" w:rsidP="004A3FC9">
                      <w:pPr>
                        <w:jc w:val="both"/>
                      </w:pPr>
                    </w:p>
                    <w:p w14:paraId="4443029F" w14:textId="77777777" w:rsidR="00062D14" w:rsidRPr="00491E48" w:rsidRDefault="00062D14" w:rsidP="004A3FC9">
                      <w:pPr>
                        <w:rPr>
                          <w:rFonts w:cstheme="majorHAnsi"/>
                          <w:u w:val="single"/>
                        </w:rPr>
                      </w:pPr>
                      <w:r w:rsidRPr="00491E48">
                        <w:rPr>
                          <w:rFonts w:cstheme="majorHAnsi"/>
                          <w:u w:val="single"/>
                        </w:rPr>
                        <w:t xml:space="preserve">Main challenges facing the Industry </w:t>
                      </w:r>
                    </w:p>
                    <w:p w14:paraId="59C861FB" w14:textId="77777777" w:rsidR="00062D14" w:rsidRPr="00491E48" w:rsidRDefault="00062D14" w:rsidP="00EF3E0B">
                      <w:pPr>
                        <w:rPr>
                          <w:rFonts w:cstheme="majorHAnsi"/>
                        </w:rPr>
                      </w:pPr>
                    </w:p>
                    <w:p w14:paraId="7763BA50" w14:textId="77777777" w:rsidR="00062D14" w:rsidRPr="00491E48" w:rsidRDefault="00062D14" w:rsidP="00EF3E0B">
                      <w:pPr>
                        <w:jc w:val="both"/>
                        <w:rPr>
                          <w:rFonts w:cstheme="majorHAnsi"/>
                        </w:rPr>
                      </w:pPr>
                      <w:r w:rsidRPr="00491E48">
                        <w:rPr>
                          <w:rFonts w:cstheme="majorHAnsi"/>
                        </w:rPr>
                        <w:t>One of the key issues currently facing the warehousing industry is the lack of available warehouse space and land for further development. Supply of existing warehouse space dropped by 71% from 2009 to 2016, as the economic downturn saw the financing and development of these properties sharply decrease. As a consequence of this, stock was not replenished once occupiers were found. In general, warehousing supply tends to lag behind demand. Industry expert Savills predicts that based on current supply levels and long-term average take up levels, most regions in the U.K have less than a year’s worth of supply left. This situation seems to be aggravated by the U. K’s rising population which Is forcing the government to develop an increasing number of homes around urban areas (their goal is 240,000 homes per year), and which leads them to designate an increasing amount of land around urban areas to residential zoning. This indicates a clear need for increased government support for the industry</w:t>
                      </w:r>
                      <w:r>
                        <w:rPr>
                          <w:rFonts w:cstheme="majorHAnsi"/>
                        </w:rPr>
                        <w:t>,</w:t>
                      </w:r>
                      <w:r w:rsidRPr="00491E48">
                        <w:rPr>
                          <w:rFonts w:cstheme="majorHAnsi"/>
                        </w:rPr>
                        <w:t xml:space="preserve"> not only in the form of logistics-friendly Brexit terms, but especially in the insurance of a continued supply of warehousing units and land available for warehouse development schemes. High quality and affordable warehouse space is becoming increasingly rare, with “last-mile” warehousing space being especially limited due to the compounding effect of all the factors mentioned previously. </w:t>
                      </w:r>
                    </w:p>
                    <w:p w14:paraId="47EF90FD" w14:textId="77777777" w:rsidR="00062D14" w:rsidRPr="00491E48" w:rsidRDefault="00062D14" w:rsidP="00EF3E0B">
                      <w:pPr>
                        <w:rPr>
                          <w:u w:val="single"/>
                        </w:rPr>
                      </w:pPr>
                    </w:p>
                    <w:p w14:paraId="4C9A128D" w14:textId="77777777" w:rsidR="00062D14" w:rsidRPr="00491E48" w:rsidRDefault="00062D14" w:rsidP="00EF3E0B">
                      <w:pPr>
                        <w:rPr>
                          <w:rFonts w:cstheme="majorHAnsi"/>
                          <w:u w:val="single"/>
                        </w:rPr>
                      </w:pPr>
                      <w:r w:rsidRPr="00491E48">
                        <w:rPr>
                          <w:rFonts w:cstheme="majorHAnsi"/>
                          <w:u w:val="single"/>
                        </w:rPr>
                        <w:t>Final Remarks</w:t>
                      </w:r>
                    </w:p>
                    <w:p w14:paraId="4DC6807E" w14:textId="77777777" w:rsidR="00062D14" w:rsidRPr="00491E48" w:rsidRDefault="00062D14" w:rsidP="00EF3E0B">
                      <w:pPr>
                        <w:rPr>
                          <w:rFonts w:cstheme="majorHAnsi"/>
                        </w:rPr>
                      </w:pPr>
                    </w:p>
                    <w:p w14:paraId="533C305F" w14:textId="77777777" w:rsidR="00062D14" w:rsidRPr="00491E48" w:rsidRDefault="00062D14" w:rsidP="00EF3E0B">
                      <w:pPr>
                        <w:jc w:val="both"/>
                        <w:rPr>
                          <w:u w:val="single"/>
                        </w:rPr>
                      </w:pPr>
                      <w:r w:rsidRPr="00491E48">
                        <w:rPr>
                          <w:rFonts w:cstheme="majorHAnsi"/>
                        </w:rPr>
                        <w:t xml:space="preserve">Overall, the U. K’s warehousing industry, propped up by the rapidly increasing demand for online retail sales, will seemingly continue to grow for the next several years. Despite the potential negative impacts </w:t>
                      </w:r>
                      <w:r>
                        <w:rPr>
                          <w:rFonts w:cstheme="majorHAnsi"/>
                        </w:rPr>
                        <w:t>of</w:t>
                      </w:r>
                      <w:r w:rsidRPr="00491E48">
                        <w:rPr>
                          <w:rFonts w:cstheme="majorHAnsi"/>
                        </w:rPr>
                        <w:t xml:space="preserve"> Brexit on the manufacturing and logistics sector, the solvency and profitability of the warehousing industry will likely remain intact thanks to growing demand and longer-term tenancy agreements which are common in the industry. The issue of limited and deficient supply will likely play a key role in the coming years if steps aren’t taken by the U.K government to ensure the availability of further land for development of warehouses surrounding urban areas. However, this lack of supply will likely put upward pressure on rents and present a competitive advantage for those firms who have already positioned their warehouses in locations which are key distribution points into local urban areas, and especially those which fall under the category of “last-mile” warehouses. </w:t>
                      </w:r>
                    </w:p>
                    <w:p w14:paraId="47189B1B" w14:textId="77777777" w:rsidR="00062D14" w:rsidRDefault="00062D14" w:rsidP="00EF3E0B"/>
                  </w:txbxContent>
                </v:textbox>
              </v:shape>
            </w:pict>
          </mc:Fallback>
        </mc:AlternateContent>
      </w:r>
    </w:p>
    <w:p w14:paraId="53ED6F39" w14:textId="77777777" w:rsidR="00EF3E0B" w:rsidRDefault="00EF3E0B"/>
    <w:p w14:paraId="56D0C5A2" w14:textId="77777777" w:rsidR="00EF3E0B" w:rsidRDefault="00EF3E0B"/>
    <w:p w14:paraId="223AAF38" w14:textId="77777777" w:rsidR="00EF3E0B" w:rsidRDefault="00EF3E0B"/>
    <w:p w14:paraId="4060C93E" w14:textId="77777777" w:rsidR="00EF3E0B" w:rsidRDefault="00EF3E0B">
      <w:pPr>
        <w:sectPr w:rsidR="00EF3E0B" w:rsidSect="00C31C96">
          <w:pgSz w:w="10800" w:h="15600"/>
          <w:pgMar w:top="474" w:right="140" w:bottom="0" w:left="478" w:header="720" w:footer="227" w:gutter="0"/>
          <w:cols w:space="708"/>
          <w:docGrid w:linePitch="326"/>
        </w:sectPr>
      </w:pPr>
    </w:p>
    <w:p w14:paraId="5C151774" w14:textId="77777777" w:rsidR="00901EB5" w:rsidRPr="00377F7E" w:rsidRDefault="00501518" w:rsidP="00377F7E">
      <w:pPr>
        <w:ind w:right="-20"/>
        <w:rPr>
          <w:rFonts w:ascii="Calibri" w:eastAsia="Calibri" w:hAnsi="Calibri" w:cs="Calibri"/>
          <w:b/>
          <w:bCs/>
          <w:color w:val="7030A0"/>
          <w:sz w:val="36"/>
          <w:szCs w:val="36"/>
        </w:rPr>
      </w:pPr>
      <w:r w:rsidRPr="006103C6">
        <w:rPr>
          <w:rFonts w:ascii="Times New Roman" w:eastAsia="Times New Roman" w:hAnsi="Times New Roman" w:cs="Times New Roman"/>
          <w:noProof/>
        </w:rPr>
        <w:lastRenderedPageBreak/>
        <w:drawing>
          <wp:anchor distT="0" distB="0" distL="114300" distR="114300" simplePos="0" relativeHeight="251697664" behindDoc="0" locked="0" layoutInCell="1" allowOverlap="1" wp14:anchorId="0FAB252B" wp14:editId="33BD8F21">
            <wp:simplePos x="0" y="0"/>
            <wp:positionH relativeFrom="column">
              <wp:posOffset>3981691</wp:posOffset>
            </wp:positionH>
            <wp:positionV relativeFrom="paragraph">
              <wp:posOffset>0</wp:posOffset>
            </wp:positionV>
            <wp:extent cx="2325370" cy="361950"/>
            <wp:effectExtent l="0" t="0" r="0" b="6350"/>
            <wp:wrapSquare wrapText="bothSides"/>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5370"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008B48BC">
        <w:rPr>
          <w:rFonts w:ascii="Calibri" w:eastAsia="Calibri" w:hAnsi="Calibri" w:cs="Calibri"/>
          <w:b/>
          <w:bCs/>
          <w:i/>
          <w:iCs/>
          <w:color w:val="44546A"/>
          <w:sz w:val="36"/>
          <w:szCs w:val="36"/>
        </w:rPr>
        <w:t>Investment</w:t>
      </w:r>
      <w:r w:rsidR="008B48BC">
        <w:rPr>
          <w:rFonts w:ascii="Calibri" w:eastAsia="Calibri" w:hAnsi="Calibri" w:cs="Calibri"/>
          <w:color w:val="44546A"/>
          <w:sz w:val="36"/>
          <w:szCs w:val="36"/>
        </w:rPr>
        <w:t xml:space="preserve"> </w:t>
      </w:r>
      <w:r w:rsidR="008B48BC">
        <w:rPr>
          <w:rFonts w:ascii="Calibri" w:eastAsia="Calibri" w:hAnsi="Calibri" w:cs="Calibri"/>
          <w:b/>
          <w:bCs/>
          <w:i/>
          <w:iCs/>
          <w:color w:val="44546A"/>
          <w:sz w:val="36"/>
          <w:szCs w:val="36"/>
        </w:rPr>
        <w:t>Thesis</w:t>
      </w:r>
    </w:p>
    <w:p w14:paraId="3031A55E" w14:textId="77777777" w:rsidR="00901EB5" w:rsidRDefault="00E044D8">
      <w:pPr>
        <w:spacing w:after="48" w:line="240" w:lineRule="exact"/>
        <w:rPr>
          <w:rFonts w:ascii="Calibri" w:eastAsia="Calibri" w:hAnsi="Calibri" w:cs="Calibri"/>
        </w:rPr>
      </w:pPr>
      <w:r>
        <w:rPr>
          <w:rFonts w:ascii="Calibri" w:eastAsia="Calibri" w:hAnsi="Calibri" w:cs="Calibri"/>
          <w:noProof/>
        </w:rPr>
        <mc:AlternateContent>
          <mc:Choice Requires="wps">
            <w:drawing>
              <wp:anchor distT="0" distB="0" distL="114300" distR="114300" simplePos="0" relativeHeight="251681280" behindDoc="0" locked="0" layoutInCell="1" allowOverlap="1" wp14:anchorId="0A28BAC9" wp14:editId="579263AC">
                <wp:simplePos x="0" y="0"/>
                <wp:positionH relativeFrom="column">
                  <wp:posOffset>4814</wp:posOffset>
                </wp:positionH>
                <wp:positionV relativeFrom="paragraph">
                  <wp:posOffset>13497</wp:posOffset>
                </wp:positionV>
                <wp:extent cx="6377305" cy="8208335"/>
                <wp:effectExtent l="0" t="0" r="0" b="0"/>
                <wp:wrapNone/>
                <wp:docPr id="50" name="Text Box 50"/>
                <wp:cNvGraphicFramePr/>
                <a:graphic xmlns:a="http://schemas.openxmlformats.org/drawingml/2006/main">
                  <a:graphicData uri="http://schemas.microsoft.com/office/word/2010/wordprocessingShape">
                    <wps:wsp>
                      <wps:cNvSpPr txBox="1"/>
                      <wps:spPr>
                        <a:xfrm>
                          <a:off x="0" y="0"/>
                          <a:ext cx="6377305" cy="8208335"/>
                        </a:xfrm>
                        <a:prstGeom prst="rect">
                          <a:avLst/>
                        </a:prstGeom>
                        <a:solidFill>
                          <a:schemeClr val="lt1"/>
                        </a:solidFill>
                        <a:ln w="6350">
                          <a:noFill/>
                        </a:ln>
                      </wps:spPr>
                      <wps:txbx>
                        <w:txbxContent>
                          <w:p w14:paraId="149D0F41" w14:textId="77777777" w:rsidR="00062D14" w:rsidRDefault="00062D14">
                            <w:pPr>
                              <w:rPr>
                                <w:u w:val="single"/>
                              </w:rPr>
                            </w:pPr>
                          </w:p>
                          <w:p w14:paraId="685EF386" w14:textId="77777777" w:rsidR="00062D14" w:rsidRDefault="00062D14">
                            <w:pPr>
                              <w:rPr>
                                <w:u w:val="single"/>
                              </w:rPr>
                            </w:pPr>
                            <w:r>
                              <w:rPr>
                                <w:u w:val="single"/>
                              </w:rPr>
                              <w:t>Current income generation of asset base under-priced by market</w:t>
                            </w:r>
                          </w:p>
                          <w:p w14:paraId="1DB13D63" w14:textId="77777777" w:rsidR="00062D14" w:rsidRDefault="00062D14">
                            <w:pPr>
                              <w:rPr>
                                <w:u w:val="single"/>
                              </w:rPr>
                            </w:pPr>
                          </w:p>
                          <w:p w14:paraId="338CD369" w14:textId="77777777" w:rsidR="00062D14" w:rsidRDefault="00062D14">
                            <w:r>
                              <w:t>Urban logistics’ asset base, notwithstanding of the potential upwards rent adjustments, generates a level of income that is not fully priced by the market. Without accounting for value accretive acquisitions, or for any rental growth above inflation, we find a significant difference (44%) between the implied value of the income generated by the company and the market’s pricing of the company. As value investors we are particularly attracted to this situation as it allows us to buy Urban Logistics stock at a price that necessitates no real growth to imply a significant upside. As long as management can maintain the real value of their properties and the market eventually realises this inefficiency, we believe Urban Logistics’ share price will appreciate towards its implied value.</w:t>
                            </w:r>
                          </w:p>
                          <w:p w14:paraId="3C9731D2" w14:textId="77777777" w:rsidR="00062D14" w:rsidRDefault="00062D14"/>
                          <w:p w14:paraId="0F5F147E" w14:textId="77777777" w:rsidR="00062D14" w:rsidRDefault="00062D14">
                            <w:pPr>
                              <w:rPr>
                                <w:u w:val="single"/>
                              </w:rPr>
                            </w:pPr>
                            <w:r>
                              <w:rPr>
                                <w:u w:val="single"/>
                              </w:rPr>
                              <w:t>High potential for upwards rent adjustments</w:t>
                            </w:r>
                          </w:p>
                          <w:p w14:paraId="4DA1D906" w14:textId="77777777" w:rsidR="00062D14" w:rsidRDefault="00062D14"/>
                          <w:p w14:paraId="550F9E4F" w14:textId="77777777" w:rsidR="00062D14" w:rsidRDefault="00062D14">
                            <w:r>
                              <w:t xml:space="preserve">Urban Logistics has high potential for future upwards rental adjustments. As discussed previously, in the market environment section, last mile warehousing is facing serious structural imbalances which most likely will result in a significant increase in warehouse owner’s ability to increase tenant rents. The economic justification for future rent increases is simple; developers are unable, and usually unwilling, to increase the supply of last mile warehouses, yet potential tenants driven by e-commerce are consistently increasing their demand for warehouse space. </w:t>
                            </w:r>
                            <w:proofErr w:type="gramStart"/>
                            <w:r>
                              <w:t>Therefore</w:t>
                            </w:r>
                            <w:proofErr w:type="gramEnd"/>
                            <w:r>
                              <w:t xml:space="preserve"> ownership of these scarce warehouses, and thus the ability to profit from rental uplifts, is the key competitive advantage of Urban logistics. </w:t>
                            </w:r>
                          </w:p>
                          <w:p w14:paraId="53392273" w14:textId="77777777" w:rsidR="00062D14" w:rsidRDefault="00062D14"/>
                          <w:p w14:paraId="51EB893E" w14:textId="77777777" w:rsidR="00062D14" w:rsidRDefault="00062D14">
                            <w:r>
                              <w:t>Additionally, Urban Logistics’ is currently charging rents that are around 9% lower than the market rate they would achieve if they were to re-let all of their properties today. This reversionary potential puts management in a strong position to negotiate increased rents, as there isn’t a better price available to tenants elsewhere.</w:t>
                            </w:r>
                          </w:p>
                          <w:p w14:paraId="53FCE5D7" w14:textId="77777777" w:rsidR="00062D14" w:rsidRDefault="00062D14"/>
                          <w:p w14:paraId="280A4C89" w14:textId="77777777" w:rsidR="00062D14" w:rsidRPr="003D784B" w:rsidRDefault="00062D14">
                            <w:r>
                              <w:t>For conservatism, our valuation model takes into account no real rental growth, however factoring in only a 1% yield increase (4% to 5%) the implied margin of safety increases to 80%. With convincing economic justifications for this level of growth, we have strong conviction in this thesis.</w:t>
                            </w:r>
                          </w:p>
                          <w:p w14:paraId="2E26FF09" w14:textId="77777777" w:rsidR="00062D14" w:rsidRDefault="00062D14" w:rsidP="003D784B">
                            <w:pPr>
                              <w:rPr>
                                <w:u w:val="single"/>
                              </w:rPr>
                            </w:pPr>
                          </w:p>
                          <w:p w14:paraId="2912B8E3" w14:textId="77777777" w:rsidR="00062D14" w:rsidRDefault="00062D14" w:rsidP="003D784B">
                            <w:pPr>
                              <w:rPr>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28BAC9" id="Text Box 50" o:spid="_x0000_s1037" type="#_x0000_t202" style="position:absolute;margin-left:.4pt;margin-top:1.05pt;width:502.15pt;height:646.3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" fillcolor="white [3201]" stroked="f" strokeweight=".5pt">
                <v:textbox>
                  <w:txbxContent>
                    <w:p w14:paraId="149D0F41" w14:textId="77777777" w:rsidR="00062D14" w:rsidRDefault="00062D14">
                      <w:pPr>
                        <w:rPr>
                          <w:u w:val="single"/>
                        </w:rPr>
                      </w:pPr>
                    </w:p>
                    <w:p w14:paraId="685EF386" w14:textId="77777777" w:rsidR="00062D14" w:rsidRDefault="00062D14">
                      <w:pPr>
                        <w:rPr>
                          <w:u w:val="single"/>
                        </w:rPr>
                      </w:pPr>
                      <w:r>
                        <w:rPr>
                          <w:u w:val="single"/>
                        </w:rPr>
                        <w:t>Current income generation of asset base under-priced by market</w:t>
                      </w:r>
                    </w:p>
                    <w:p w14:paraId="1DB13D63" w14:textId="77777777" w:rsidR="00062D14" w:rsidRDefault="00062D14">
                      <w:pPr>
                        <w:rPr>
                          <w:u w:val="single"/>
                        </w:rPr>
                      </w:pPr>
                    </w:p>
                    <w:p w14:paraId="338CD369" w14:textId="77777777" w:rsidR="00062D14" w:rsidRDefault="00062D14">
                      <w:r>
                        <w:t>Urban logistics’ asset base, notwithstanding of the potential upwards rent adjustments, generates a level of income that is not fully priced by the market. Without accounting for value accretive acquisitions, or for any rental growth above inflation, we find a significant difference (44%) between the implied value of the income generated by the company and the market’s pricing of the company. As value investors we are particularly attracted to this situation as it allows us to buy Urban Logistics stock at a price that necessitates no real growth to imply a significant upside. As long as management can maintain the real value of their properties and the market eventually realises this inefficiency, we believe Urban Logistics’ share price will appreciate towards its implied value.</w:t>
                      </w:r>
                    </w:p>
                    <w:p w14:paraId="3C9731D2" w14:textId="77777777" w:rsidR="00062D14" w:rsidRDefault="00062D14"/>
                    <w:p w14:paraId="0F5F147E" w14:textId="77777777" w:rsidR="00062D14" w:rsidRDefault="00062D14">
                      <w:pPr>
                        <w:rPr>
                          <w:u w:val="single"/>
                        </w:rPr>
                      </w:pPr>
                      <w:r>
                        <w:rPr>
                          <w:u w:val="single"/>
                        </w:rPr>
                        <w:t>High potential for upwards rent adjustments</w:t>
                      </w:r>
                    </w:p>
                    <w:p w14:paraId="4DA1D906" w14:textId="77777777" w:rsidR="00062D14" w:rsidRDefault="00062D14"/>
                    <w:p w14:paraId="550F9E4F" w14:textId="77777777" w:rsidR="00062D14" w:rsidRDefault="00062D14">
                      <w:r>
                        <w:t xml:space="preserve">Urban Logistics has high potential for future upwards rental adjustments. As discussed previously, in the market environment section, last mile warehousing is facing serious structural imbalances which most likely will result in a significant increase in warehouse owner’s ability to increase tenant rents. The economic justification for future rent increases is simple; developers are unable, and usually unwilling, to increase the supply of last mile warehouses, yet potential tenants driven by e-commerce are consistently increasing their demand for warehouse space. </w:t>
                      </w:r>
                      <w:proofErr w:type="gramStart"/>
                      <w:r>
                        <w:t>Therefore</w:t>
                      </w:r>
                      <w:proofErr w:type="gramEnd"/>
                      <w:r>
                        <w:t xml:space="preserve"> ownership of these scarce warehouses, and thus the ability to profit from rental uplifts, is the key competitive advantage of Urban logistics. </w:t>
                      </w:r>
                    </w:p>
                    <w:p w14:paraId="53392273" w14:textId="77777777" w:rsidR="00062D14" w:rsidRDefault="00062D14"/>
                    <w:p w14:paraId="51EB893E" w14:textId="77777777" w:rsidR="00062D14" w:rsidRDefault="00062D14">
                      <w:r>
                        <w:t>Additionally, Urban Logistics’ is currently charging rents that are around 9% lower than the market rate they would achieve if they were to re-let all of their properties today. This reversionary potential puts management in a strong position to negotiate increased rents, as there isn’t a better price available to tenants elsewhere.</w:t>
                      </w:r>
                    </w:p>
                    <w:p w14:paraId="53FCE5D7" w14:textId="77777777" w:rsidR="00062D14" w:rsidRDefault="00062D14"/>
                    <w:p w14:paraId="280A4C89" w14:textId="77777777" w:rsidR="00062D14" w:rsidRPr="003D784B" w:rsidRDefault="00062D14">
                      <w:r>
                        <w:t>For conservatism, our valuation model takes into account no real rental growth, however factoring in only a 1% yield increase (4% to 5%) the implied margin of safety increases to 80%. With convincing economic justifications for this level of growth, we have strong conviction in this thesis.</w:t>
                      </w:r>
                    </w:p>
                    <w:p w14:paraId="2E26FF09" w14:textId="77777777" w:rsidR="00062D14" w:rsidRDefault="00062D14" w:rsidP="003D784B">
                      <w:pPr>
                        <w:rPr>
                          <w:u w:val="single"/>
                        </w:rPr>
                      </w:pPr>
                    </w:p>
                    <w:p w14:paraId="2912B8E3" w14:textId="77777777" w:rsidR="00062D14" w:rsidRDefault="00062D14" w:rsidP="003D784B">
                      <w:pPr>
                        <w:rPr>
                          <w:u w:val="single"/>
                        </w:rPr>
                      </w:pPr>
                    </w:p>
                  </w:txbxContent>
                </v:textbox>
              </v:shape>
            </w:pict>
          </mc:Fallback>
        </mc:AlternateContent>
      </w:r>
    </w:p>
    <w:p w14:paraId="7BA1D406" w14:textId="77777777" w:rsidR="00901EB5" w:rsidRDefault="00901EB5">
      <w:pPr>
        <w:spacing w:line="240" w:lineRule="exact"/>
        <w:rPr>
          <w:rFonts w:ascii="Calibri" w:eastAsia="Calibri" w:hAnsi="Calibri" w:cs="Calibri"/>
        </w:rPr>
      </w:pPr>
    </w:p>
    <w:p w14:paraId="0A4FD1F5" w14:textId="77777777" w:rsidR="00901EB5" w:rsidRDefault="00901EB5">
      <w:pPr>
        <w:spacing w:line="240" w:lineRule="exact"/>
        <w:rPr>
          <w:rFonts w:ascii="Calibri" w:eastAsia="Calibri" w:hAnsi="Calibri" w:cs="Calibri"/>
        </w:rPr>
      </w:pPr>
    </w:p>
    <w:p w14:paraId="33366D82" w14:textId="77777777" w:rsidR="00901EB5" w:rsidRDefault="00901EB5">
      <w:pPr>
        <w:spacing w:line="240" w:lineRule="exact"/>
        <w:rPr>
          <w:rFonts w:ascii="Calibri" w:eastAsia="Calibri" w:hAnsi="Calibri" w:cs="Calibri"/>
        </w:rPr>
      </w:pPr>
    </w:p>
    <w:p w14:paraId="4A13F555" w14:textId="77777777" w:rsidR="00901EB5" w:rsidRDefault="00901EB5">
      <w:pPr>
        <w:spacing w:line="240" w:lineRule="exact"/>
        <w:rPr>
          <w:rFonts w:ascii="Calibri" w:eastAsia="Calibri" w:hAnsi="Calibri" w:cs="Calibri"/>
        </w:rPr>
      </w:pPr>
    </w:p>
    <w:p w14:paraId="7AB7A74D" w14:textId="77777777" w:rsidR="00901EB5" w:rsidRDefault="00901EB5">
      <w:pPr>
        <w:spacing w:line="240" w:lineRule="exact"/>
        <w:rPr>
          <w:rFonts w:ascii="Calibri" w:eastAsia="Calibri" w:hAnsi="Calibri" w:cs="Calibri"/>
        </w:rPr>
      </w:pPr>
    </w:p>
    <w:p w14:paraId="729A249D" w14:textId="77777777" w:rsidR="00901EB5" w:rsidRDefault="00901EB5">
      <w:pPr>
        <w:spacing w:line="240" w:lineRule="exact"/>
        <w:rPr>
          <w:rFonts w:ascii="Calibri" w:eastAsia="Calibri" w:hAnsi="Calibri" w:cs="Calibri"/>
        </w:rPr>
      </w:pPr>
    </w:p>
    <w:p w14:paraId="1E7B8DC1" w14:textId="77777777" w:rsidR="00901EB5" w:rsidRDefault="00901EB5">
      <w:pPr>
        <w:spacing w:line="240" w:lineRule="exact"/>
        <w:rPr>
          <w:rFonts w:ascii="Calibri" w:eastAsia="Calibri" w:hAnsi="Calibri" w:cs="Calibri"/>
        </w:rPr>
      </w:pPr>
    </w:p>
    <w:p w14:paraId="04F9DC31" w14:textId="77777777" w:rsidR="00901EB5" w:rsidRDefault="00901EB5">
      <w:pPr>
        <w:spacing w:line="240" w:lineRule="exact"/>
        <w:rPr>
          <w:rFonts w:ascii="Calibri" w:eastAsia="Calibri" w:hAnsi="Calibri" w:cs="Calibri"/>
        </w:rPr>
      </w:pPr>
    </w:p>
    <w:p w14:paraId="0080E453" w14:textId="77777777" w:rsidR="00901EB5" w:rsidRDefault="00901EB5">
      <w:pPr>
        <w:spacing w:line="240" w:lineRule="exact"/>
        <w:rPr>
          <w:rFonts w:ascii="Calibri" w:eastAsia="Calibri" w:hAnsi="Calibri" w:cs="Calibri"/>
        </w:rPr>
      </w:pPr>
    </w:p>
    <w:p w14:paraId="6BC3F12F" w14:textId="77777777" w:rsidR="00901EB5" w:rsidRDefault="00901EB5">
      <w:pPr>
        <w:spacing w:line="240" w:lineRule="exact"/>
        <w:rPr>
          <w:rFonts w:ascii="Calibri" w:eastAsia="Calibri" w:hAnsi="Calibri" w:cs="Calibri"/>
        </w:rPr>
      </w:pPr>
    </w:p>
    <w:p w14:paraId="57087848" w14:textId="77777777" w:rsidR="00901EB5" w:rsidRDefault="00901EB5">
      <w:pPr>
        <w:spacing w:line="240" w:lineRule="exact"/>
        <w:rPr>
          <w:rFonts w:ascii="Calibri" w:eastAsia="Calibri" w:hAnsi="Calibri" w:cs="Calibri"/>
        </w:rPr>
      </w:pPr>
    </w:p>
    <w:p w14:paraId="7AFB5039" w14:textId="77777777" w:rsidR="00901EB5" w:rsidRDefault="00901EB5">
      <w:pPr>
        <w:spacing w:line="240" w:lineRule="exact"/>
        <w:rPr>
          <w:rFonts w:ascii="Calibri" w:eastAsia="Calibri" w:hAnsi="Calibri" w:cs="Calibri"/>
        </w:rPr>
      </w:pPr>
    </w:p>
    <w:p w14:paraId="16419465" w14:textId="77777777" w:rsidR="00901EB5" w:rsidRDefault="00901EB5">
      <w:pPr>
        <w:spacing w:line="240" w:lineRule="exact"/>
        <w:rPr>
          <w:rFonts w:ascii="Calibri" w:eastAsia="Calibri" w:hAnsi="Calibri" w:cs="Calibri"/>
        </w:rPr>
      </w:pPr>
    </w:p>
    <w:p w14:paraId="6CE69991" w14:textId="77777777" w:rsidR="00901EB5" w:rsidRDefault="00901EB5">
      <w:pPr>
        <w:spacing w:line="240" w:lineRule="exact"/>
        <w:rPr>
          <w:rFonts w:ascii="Calibri" w:eastAsia="Calibri" w:hAnsi="Calibri" w:cs="Calibri"/>
        </w:rPr>
      </w:pPr>
    </w:p>
    <w:p w14:paraId="659E3653" w14:textId="77777777" w:rsidR="00901EB5" w:rsidRDefault="00901EB5">
      <w:pPr>
        <w:spacing w:line="240" w:lineRule="exact"/>
        <w:rPr>
          <w:rFonts w:ascii="Calibri" w:eastAsia="Calibri" w:hAnsi="Calibri" w:cs="Calibri"/>
        </w:rPr>
      </w:pPr>
    </w:p>
    <w:p w14:paraId="019708AA" w14:textId="77777777" w:rsidR="00901EB5" w:rsidRDefault="00901EB5">
      <w:pPr>
        <w:spacing w:line="240" w:lineRule="exact"/>
        <w:rPr>
          <w:rFonts w:ascii="Calibri" w:eastAsia="Calibri" w:hAnsi="Calibri" w:cs="Calibri"/>
        </w:rPr>
      </w:pPr>
    </w:p>
    <w:p w14:paraId="1A341490" w14:textId="77777777" w:rsidR="00901EB5" w:rsidRDefault="00901EB5">
      <w:pPr>
        <w:spacing w:line="240" w:lineRule="exact"/>
        <w:rPr>
          <w:rFonts w:ascii="Calibri" w:eastAsia="Calibri" w:hAnsi="Calibri" w:cs="Calibri"/>
        </w:rPr>
      </w:pPr>
    </w:p>
    <w:p w14:paraId="5B0591A2" w14:textId="77777777" w:rsidR="00901EB5" w:rsidRDefault="00901EB5">
      <w:pPr>
        <w:spacing w:line="240" w:lineRule="exact"/>
        <w:rPr>
          <w:rFonts w:ascii="Calibri" w:eastAsia="Calibri" w:hAnsi="Calibri" w:cs="Calibri"/>
        </w:rPr>
      </w:pPr>
    </w:p>
    <w:p w14:paraId="7FB0D777" w14:textId="77777777" w:rsidR="00901EB5" w:rsidRDefault="00901EB5">
      <w:pPr>
        <w:spacing w:line="240" w:lineRule="exact"/>
        <w:rPr>
          <w:rFonts w:ascii="Calibri" w:eastAsia="Calibri" w:hAnsi="Calibri" w:cs="Calibri"/>
        </w:rPr>
      </w:pPr>
    </w:p>
    <w:p w14:paraId="3E46F00F" w14:textId="77777777" w:rsidR="00901EB5" w:rsidRDefault="00901EB5">
      <w:pPr>
        <w:spacing w:line="240" w:lineRule="exact"/>
        <w:rPr>
          <w:rFonts w:ascii="Calibri" w:eastAsia="Calibri" w:hAnsi="Calibri" w:cs="Calibri"/>
        </w:rPr>
      </w:pPr>
    </w:p>
    <w:p w14:paraId="427444CB" w14:textId="77777777" w:rsidR="00901EB5" w:rsidRDefault="00901EB5">
      <w:pPr>
        <w:spacing w:line="240" w:lineRule="exact"/>
        <w:rPr>
          <w:rFonts w:ascii="Calibri" w:eastAsia="Calibri" w:hAnsi="Calibri" w:cs="Calibri"/>
        </w:rPr>
      </w:pPr>
    </w:p>
    <w:p w14:paraId="017FF551" w14:textId="77777777" w:rsidR="00901EB5" w:rsidRDefault="00901EB5">
      <w:pPr>
        <w:spacing w:line="240" w:lineRule="exact"/>
        <w:rPr>
          <w:rFonts w:ascii="Calibri" w:eastAsia="Calibri" w:hAnsi="Calibri" w:cs="Calibri"/>
        </w:rPr>
      </w:pPr>
    </w:p>
    <w:p w14:paraId="24F2E88A" w14:textId="77777777" w:rsidR="00901EB5" w:rsidRDefault="00901EB5">
      <w:pPr>
        <w:spacing w:line="240" w:lineRule="exact"/>
        <w:rPr>
          <w:rFonts w:ascii="Calibri" w:eastAsia="Calibri" w:hAnsi="Calibri" w:cs="Calibri"/>
        </w:rPr>
      </w:pPr>
    </w:p>
    <w:p w14:paraId="15CFADE2" w14:textId="77777777" w:rsidR="00901EB5" w:rsidRDefault="00901EB5">
      <w:pPr>
        <w:spacing w:line="240" w:lineRule="exact"/>
        <w:rPr>
          <w:rFonts w:ascii="Calibri" w:eastAsia="Calibri" w:hAnsi="Calibri" w:cs="Calibri"/>
        </w:rPr>
      </w:pPr>
    </w:p>
    <w:p w14:paraId="5B4E7B79" w14:textId="77777777" w:rsidR="00901EB5" w:rsidRDefault="00901EB5">
      <w:pPr>
        <w:spacing w:line="240" w:lineRule="exact"/>
        <w:rPr>
          <w:rFonts w:ascii="Calibri" w:eastAsia="Calibri" w:hAnsi="Calibri" w:cs="Calibri"/>
        </w:rPr>
      </w:pPr>
    </w:p>
    <w:p w14:paraId="6CE3B446" w14:textId="77777777" w:rsidR="00901EB5" w:rsidRDefault="00901EB5">
      <w:pPr>
        <w:spacing w:line="240" w:lineRule="exact"/>
        <w:rPr>
          <w:rFonts w:ascii="Calibri" w:eastAsia="Calibri" w:hAnsi="Calibri" w:cs="Calibri"/>
        </w:rPr>
      </w:pPr>
    </w:p>
    <w:p w14:paraId="7687C562" w14:textId="77777777" w:rsidR="00901EB5" w:rsidRDefault="00901EB5">
      <w:pPr>
        <w:spacing w:line="240" w:lineRule="exact"/>
        <w:rPr>
          <w:rFonts w:ascii="Calibri" w:eastAsia="Calibri" w:hAnsi="Calibri" w:cs="Calibri"/>
        </w:rPr>
      </w:pPr>
    </w:p>
    <w:p w14:paraId="51AC266E" w14:textId="77777777" w:rsidR="00901EB5" w:rsidRDefault="00901EB5">
      <w:pPr>
        <w:spacing w:line="240" w:lineRule="exact"/>
        <w:rPr>
          <w:rFonts w:ascii="Calibri" w:eastAsia="Calibri" w:hAnsi="Calibri" w:cs="Calibri"/>
        </w:rPr>
      </w:pPr>
    </w:p>
    <w:p w14:paraId="544B1E1B" w14:textId="77777777" w:rsidR="00901EB5" w:rsidRDefault="00901EB5">
      <w:pPr>
        <w:spacing w:line="240" w:lineRule="exact"/>
        <w:rPr>
          <w:rFonts w:ascii="Calibri" w:eastAsia="Calibri" w:hAnsi="Calibri" w:cs="Calibri"/>
        </w:rPr>
      </w:pPr>
    </w:p>
    <w:p w14:paraId="60CECAF9" w14:textId="77777777" w:rsidR="00901EB5" w:rsidRDefault="00901EB5">
      <w:pPr>
        <w:spacing w:line="240" w:lineRule="exact"/>
        <w:rPr>
          <w:rFonts w:ascii="Calibri" w:eastAsia="Calibri" w:hAnsi="Calibri" w:cs="Calibri"/>
        </w:rPr>
      </w:pPr>
    </w:p>
    <w:p w14:paraId="784D9223" w14:textId="77777777" w:rsidR="00901EB5" w:rsidRDefault="00901EB5">
      <w:pPr>
        <w:spacing w:line="240" w:lineRule="exact"/>
        <w:rPr>
          <w:rFonts w:ascii="Calibri" w:eastAsia="Calibri" w:hAnsi="Calibri" w:cs="Calibri"/>
        </w:rPr>
      </w:pPr>
    </w:p>
    <w:p w14:paraId="52EC4731" w14:textId="77777777" w:rsidR="00901EB5" w:rsidRDefault="00901EB5">
      <w:pPr>
        <w:spacing w:line="240" w:lineRule="exact"/>
        <w:rPr>
          <w:rFonts w:ascii="Calibri" w:eastAsia="Calibri" w:hAnsi="Calibri" w:cs="Calibri"/>
        </w:rPr>
      </w:pPr>
    </w:p>
    <w:p w14:paraId="4D741404" w14:textId="77777777" w:rsidR="00901EB5" w:rsidRDefault="00901EB5">
      <w:pPr>
        <w:spacing w:line="240" w:lineRule="exact"/>
        <w:rPr>
          <w:rFonts w:ascii="Calibri" w:eastAsia="Calibri" w:hAnsi="Calibri" w:cs="Calibri"/>
        </w:rPr>
      </w:pPr>
    </w:p>
    <w:p w14:paraId="7930C8E6" w14:textId="77777777" w:rsidR="00901EB5" w:rsidRDefault="00901EB5">
      <w:pPr>
        <w:spacing w:line="240" w:lineRule="exact"/>
        <w:rPr>
          <w:rFonts w:ascii="Calibri" w:eastAsia="Calibri" w:hAnsi="Calibri" w:cs="Calibri"/>
        </w:rPr>
      </w:pPr>
    </w:p>
    <w:p w14:paraId="5F980B86" w14:textId="77777777" w:rsidR="00901EB5" w:rsidRDefault="00901EB5">
      <w:pPr>
        <w:spacing w:line="240" w:lineRule="exact"/>
        <w:rPr>
          <w:rFonts w:ascii="Calibri" w:eastAsia="Calibri" w:hAnsi="Calibri" w:cs="Calibri"/>
        </w:rPr>
      </w:pPr>
    </w:p>
    <w:p w14:paraId="66FF0A24" w14:textId="77777777" w:rsidR="00901EB5" w:rsidRDefault="00901EB5">
      <w:pPr>
        <w:spacing w:line="240" w:lineRule="exact"/>
        <w:rPr>
          <w:rFonts w:ascii="Calibri" w:eastAsia="Calibri" w:hAnsi="Calibri" w:cs="Calibri"/>
        </w:rPr>
      </w:pPr>
    </w:p>
    <w:p w14:paraId="6134E796" w14:textId="77777777" w:rsidR="00901EB5" w:rsidRDefault="00901EB5">
      <w:pPr>
        <w:spacing w:line="240" w:lineRule="exact"/>
        <w:rPr>
          <w:rFonts w:ascii="Calibri" w:eastAsia="Calibri" w:hAnsi="Calibri" w:cs="Calibri"/>
        </w:rPr>
      </w:pPr>
    </w:p>
    <w:p w14:paraId="45A53D88" w14:textId="77777777" w:rsidR="00901EB5" w:rsidRDefault="00901EB5"/>
    <w:p w14:paraId="6F3674A7" w14:textId="77777777" w:rsidR="00C45F4E" w:rsidRDefault="00C45F4E"/>
    <w:p w14:paraId="17261A3D" w14:textId="77777777" w:rsidR="00C45F4E" w:rsidRDefault="00C45F4E"/>
    <w:p w14:paraId="2BC95B78" w14:textId="77777777" w:rsidR="00C45F4E" w:rsidRDefault="00C45F4E"/>
    <w:p w14:paraId="66C6E51B" w14:textId="77777777" w:rsidR="00C45F4E" w:rsidRDefault="00C45F4E"/>
    <w:p w14:paraId="775026D4" w14:textId="77777777" w:rsidR="00C45F4E" w:rsidRDefault="00C45F4E"/>
    <w:p w14:paraId="58EE940A" w14:textId="77777777" w:rsidR="00C45F4E" w:rsidRDefault="00C45F4E"/>
    <w:p w14:paraId="53B23BBE" w14:textId="77777777" w:rsidR="003443BC" w:rsidRPr="00831D24" w:rsidRDefault="003443BC" w:rsidP="00831D24">
      <w:pPr>
        <w:sectPr w:rsidR="003443BC" w:rsidRPr="00831D24" w:rsidSect="00C31C96">
          <w:pgSz w:w="10800" w:h="15600"/>
          <w:pgMar w:top="474" w:right="511" w:bottom="0" w:left="478" w:header="720" w:footer="227" w:gutter="0"/>
          <w:cols w:space="708"/>
          <w:docGrid w:linePitch="326"/>
        </w:sectPr>
      </w:pPr>
      <w:r>
        <w:rPr>
          <w:noProof/>
        </w:rPr>
        <mc:AlternateContent>
          <mc:Choice Requires="wps">
            <w:drawing>
              <wp:anchor distT="0" distB="0" distL="0" distR="0" simplePos="0" relativeHeight="251710976" behindDoc="1" locked="0" layoutInCell="0" allowOverlap="1" wp14:anchorId="26068F3C" wp14:editId="64B1AACA">
                <wp:simplePos x="0" y="0"/>
                <wp:positionH relativeFrom="page">
                  <wp:posOffset>2926</wp:posOffset>
                </wp:positionH>
                <wp:positionV relativeFrom="page">
                  <wp:posOffset>9564917</wp:posOffset>
                </wp:positionV>
                <wp:extent cx="6858000" cy="0"/>
                <wp:effectExtent l="0" t="0" r="0" b="0"/>
                <wp:wrapNone/>
                <wp:docPr id="78" name="drawingObject22"/>
                <wp:cNvGraphicFramePr/>
                <a:graphic xmlns:a="http://schemas.openxmlformats.org/drawingml/2006/main">
                  <a:graphicData uri="http://schemas.microsoft.com/office/word/2010/wordprocessingShape">
                    <wps:wsp>
                      <wps:cNvSpPr/>
                      <wps:spPr>
                        <a:xfrm>
                          <a:off x="0" y="0"/>
                          <a:ext cx="6858000" cy="0"/>
                        </a:xfrm>
                        <a:custGeom>
                          <a:avLst/>
                          <a:gdLst/>
                          <a:ahLst/>
                          <a:cxnLst/>
                          <a:rect l="0" t="0" r="0" b="0"/>
                          <a:pathLst>
                            <a:path w="6858000">
                              <a:moveTo>
                                <a:pt x="0" y="0"/>
                              </a:moveTo>
                              <a:lnTo>
                                <a:pt x="6858000" y="0"/>
                              </a:lnTo>
                            </a:path>
                          </a:pathLst>
                        </a:custGeom>
                        <a:noFill/>
                        <a:ln w="6350" cap="flat">
                          <a:solidFill>
                            <a:srgbClr val="1F4E79"/>
                          </a:solidFill>
                          <a:prstDash/>
                        </a:ln>
                      </wps:spPr>
                      <wps:bodyPr vertOverflow="overflow" horzOverflow="overflow" vert="horz" lIns="91440" tIns="45720" rIns="91440" bIns="45720" anchor="t"/>
                    </wps:wsp>
                  </a:graphicData>
                </a:graphic>
              </wp:anchor>
            </w:drawing>
          </mc:Choice>
          <mc:Fallback>
            <w:pict>
              <v:shape w14:anchorId="47879073" id="drawingObject22" o:spid="_x0000_s1026" style="position:absolute;margin-left:.25pt;margin-top:753.15pt;width:540pt;height:0;z-index:-251605504;visibility:visible;mso-wrap-style:square;mso-wrap-distance-left:0;mso-wrap-distance-top:0;mso-wrap-distance-right:0;mso-wrap-distance-bottom:0;mso-position-horizontal:absolute;mso-position-horizontal-relative:page;mso-position-vertical:absolute;mso-position-vertical-relative:page;v-text-anchor:top" coordsize="6858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" o:allowincell="f" path="m,l6858000,e" filled="f" strokecolor="#1f4e79" strokeweight=".5pt">
                <v:path arrowok="t" textboxrect="0,0,6858000,0"/>
                <w10:wrap anchorx="page" anchory="page"/>
              </v:shape>
            </w:pict>
          </mc:Fallback>
        </mc:AlternateContent>
      </w:r>
    </w:p>
    <w:p w14:paraId="77AAC861" w14:textId="77777777" w:rsidR="00C90AE6" w:rsidRDefault="00C90AE6" w:rsidP="00831D24">
      <w:pPr>
        <w:spacing w:before="111" w:line="235" w:lineRule="auto"/>
        <w:ind w:right="8351"/>
        <w:rPr>
          <w:rFonts w:ascii="Calibri" w:eastAsia="Calibri" w:hAnsi="Calibri" w:cs="Calibri"/>
          <w:b/>
          <w:bCs/>
          <w:color w:val="000000"/>
          <w:sz w:val="22"/>
          <w:szCs w:val="22"/>
        </w:rPr>
      </w:pPr>
    </w:p>
    <w:p w14:paraId="6DD621B4" w14:textId="77777777" w:rsidR="00C90AE6" w:rsidRDefault="00C90AE6" w:rsidP="00501518">
      <w:pPr>
        <w:spacing w:before="111" w:line="235" w:lineRule="auto"/>
        <w:ind w:left="27" w:right="8351"/>
        <w:rPr>
          <w:rFonts w:ascii="Calibri" w:eastAsia="Calibri" w:hAnsi="Calibri" w:cs="Calibri"/>
          <w:b/>
          <w:bCs/>
          <w:color w:val="000000"/>
          <w:sz w:val="22"/>
          <w:szCs w:val="22"/>
        </w:rPr>
      </w:pPr>
    </w:p>
    <w:p w14:paraId="4AD7E8F5" w14:textId="77777777" w:rsidR="00831D24" w:rsidRDefault="00831D24" w:rsidP="00831D24">
      <w:pPr>
        <w:spacing w:line="235" w:lineRule="auto"/>
        <w:ind w:right="5687"/>
        <w:rPr>
          <w:rFonts w:ascii="Calibri" w:eastAsia="Calibri" w:hAnsi="Calibri" w:cs="Calibri"/>
          <w:b/>
          <w:bCs/>
          <w:color w:val="000000"/>
          <w:sz w:val="22"/>
          <w:szCs w:val="22"/>
        </w:rPr>
      </w:pPr>
    </w:p>
    <w:p w14:paraId="5810CE80" w14:textId="77777777" w:rsidR="00831D24" w:rsidRDefault="00831D24" w:rsidP="00831D24">
      <w:pPr>
        <w:spacing w:line="235" w:lineRule="auto"/>
        <w:ind w:right="5687"/>
        <w:rPr>
          <w:rFonts w:ascii="Calibri" w:eastAsia="Calibri" w:hAnsi="Calibri" w:cs="Calibri"/>
          <w:color w:val="000000"/>
          <w:sz w:val="22"/>
          <w:szCs w:val="22"/>
        </w:rPr>
      </w:pPr>
    </w:p>
    <w:p w14:paraId="17CEF9FE" w14:textId="77777777" w:rsidR="00377F7E" w:rsidRDefault="00377F7E" w:rsidP="00831D24">
      <w:pPr>
        <w:spacing w:line="235" w:lineRule="auto"/>
        <w:ind w:right="5687"/>
        <w:rPr>
          <w:rFonts w:ascii="Calibri" w:eastAsia="Calibri" w:hAnsi="Calibri" w:cs="Calibri"/>
          <w:color w:val="000000"/>
          <w:sz w:val="22"/>
          <w:szCs w:val="22"/>
        </w:rPr>
      </w:pPr>
    </w:p>
    <w:p w14:paraId="7A59318E" w14:textId="77777777" w:rsidR="00377F7E" w:rsidRDefault="00377F7E" w:rsidP="00831D24">
      <w:pPr>
        <w:spacing w:line="235" w:lineRule="auto"/>
        <w:ind w:right="5687"/>
        <w:rPr>
          <w:rFonts w:ascii="Calibri" w:eastAsia="Calibri" w:hAnsi="Calibri" w:cs="Calibri"/>
          <w:color w:val="000000"/>
          <w:sz w:val="22"/>
          <w:szCs w:val="22"/>
        </w:rPr>
      </w:pPr>
    </w:p>
    <w:p w14:paraId="4ACEFBD6" w14:textId="77777777" w:rsidR="00377F7E" w:rsidRDefault="00377F7E" w:rsidP="00831D24">
      <w:pPr>
        <w:spacing w:line="235" w:lineRule="auto"/>
        <w:ind w:right="5687"/>
        <w:rPr>
          <w:rFonts w:ascii="Calibri" w:eastAsia="Calibri" w:hAnsi="Calibri" w:cs="Calibri"/>
          <w:color w:val="000000"/>
          <w:sz w:val="22"/>
          <w:szCs w:val="22"/>
        </w:rPr>
      </w:pPr>
    </w:p>
    <w:p w14:paraId="01A02646" w14:textId="77777777" w:rsidR="004A3FC9" w:rsidRDefault="004A3FC9" w:rsidP="00831D24">
      <w:pPr>
        <w:spacing w:line="235" w:lineRule="auto"/>
        <w:ind w:right="5687"/>
        <w:rPr>
          <w:rFonts w:ascii="Calibri" w:eastAsia="Calibri" w:hAnsi="Calibri" w:cs="Calibri"/>
          <w:color w:val="000000"/>
          <w:sz w:val="22"/>
          <w:szCs w:val="22"/>
        </w:rPr>
      </w:pPr>
    </w:p>
    <w:p w14:paraId="77E9039F" w14:textId="765BBC43" w:rsidR="00377F7E" w:rsidRDefault="00377F7E" w:rsidP="00831D24">
      <w:pPr>
        <w:spacing w:line="235" w:lineRule="auto"/>
        <w:ind w:right="5687"/>
        <w:rPr>
          <w:rFonts w:ascii="Calibri" w:eastAsia="Calibri" w:hAnsi="Calibri" w:cs="Calibri"/>
          <w:color w:val="000000"/>
          <w:sz w:val="22"/>
          <w:szCs w:val="22"/>
        </w:rPr>
      </w:pPr>
    </w:p>
    <w:p w14:paraId="413CF3CF" w14:textId="0EBDEA24" w:rsidR="00377F7E" w:rsidRDefault="00377F7E" w:rsidP="00831D24">
      <w:pPr>
        <w:spacing w:line="235" w:lineRule="auto"/>
        <w:ind w:right="5687"/>
        <w:rPr>
          <w:rFonts w:ascii="Calibri" w:eastAsia="Calibri" w:hAnsi="Calibri" w:cs="Calibri"/>
          <w:color w:val="000000"/>
          <w:sz w:val="22"/>
          <w:szCs w:val="22"/>
        </w:rPr>
      </w:pPr>
    </w:p>
    <w:p w14:paraId="5A6213C1" w14:textId="38524DDA" w:rsidR="00377F7E" w:rsidRDefault="00FE087C" w:rsidP="00831D24">
      <w:pPr>
        <w:spacing w:line="235" w:lineRule="auto"/>
        <w:ind w:right="5687"/>
        <w:rPr>
          <w:rFonts w:ascii="Calibri" w:eastAsia="Calibri" w:hAnsi="Calibri" w:cs="Calibri"/>
          <w:color w:val="000000"/>
          <w:sz w:val="22"/>
          <w:szCs w:val="22"/>
        </w:rPr>
      </w:pPr>
      <w:r w:rsidRPr="006103C6">
        <w:rPr>
          <w:rFonts w:ascii="Times New Roman" w:eastAsia="Times New Roman" w:hAnsi="Times New Roman" w:cs="Times New Roman"/>
          <w:noProof/>
        </w:rPr>
        <w:lastRenderedPageBreak/>
        <w:drawing>
          <wp:anchor distT="0" distB="0" distL="114300" distR="114300" simplePos="0" relativeHeight="251753984" behindDoc="0" locked="0" layoutInCell="1" allowOverlap="1" wp14:anchorId="0EF1F7DA" wp14:editId="53212622">
            <wp:simplePos x="0" y="0"/>
            <wp:positionH relativeFrom="column">
              <wp:posOffset>3921941</wp:posOffset>
            </wp:positionH>
            <wp:positionV relativeFrom="paragraph">
              <wp:posOffset>2540</wp:posOffset>
            </wp:positionV>
            <wp:extent cx="2325370" cy="361950"/>
            <wp:effectExtent l="0" t="0" r="0" b="6350"/>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5370"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7F7E">
        <w:rPr>
          <w:rFonts w:ascii="Calibri" w:eastAsia="Calibri" w:hAnsi="Calibri" w:cs="Calibri"/>
          <w:noProof/>
          <w:color w:val="000000"/>
          <w:sz w:val="22"/>
          <w:szCs w:val="22"/>
        </w:rPr>
        <mc:AlternateContent>
          <mc:Choice Requires="wps">
            <w:drawing>
              <wp:anchor distT="0" distB="0" distL="114300" distR="114300" simplePos="0" relativeHeight="251751936" behindDoc="0" locked="0" layoutInCell="1" allowOverlap="1" wp14:anchorId="629D629B" wp14:editId="4ADCC706">
                <wp:simplePos x="0" y="0"/>
                <wp:positionH relativeFrom="column">
                  <wp:posOffset>36712</wp:posOffset>
                </wp:positionH>
                <wp:positionV relativeFrom="paragraph">
                  <wp:posOffset>119912</wp:posOffset>
                </wp:positionV>
                <wp:extent cx="6270049" cy="5645888"/>
                <wp:effectExtent l="0" t="0" r="3810" b="5715"/>
                <wp:wrapNone/>
                <wp:docPr id="31" name="Text Box 31"/>
                <wp:cNvGraphicFramePr/>
                <a:graphic xmlns:a="http://schemas.openxmlformats.org/drawingml/2006/main">
                  <a:graphicData uri="http://schemas.microsoft.com/office/word/2010/wordprocessingShape">
                    <wps:wsp>
                      <wps:cNvSpPr txBox="1"/>
                      <wps:spPr>
                        <a:xfrm>
                          <a:off x="0" y="0"/>
                          <a:ext cx="6270049" cy="5645888"/>
                        </a:xfrm>
                        <a:prstGeom prst="rect">
                          <a:avLst/>
                        </a:prstGeom>
                        <a:solidFill>
                          <a:schemeClr val="lt1"/>
                        </a:solidFill>
                        <a:ln w="6350">
                          <a:noFill/>
                        </a:ln>
                      </wps:spPr>
                      <wps:txbx>
                        <w:txbxContent>
                          <w:p w14:paraId="49500380" w14:textId="77777777" w:rsidR="00062D14" w:rsidRDefault="00062D14" w:rsidP="00377F7E">
                            <w:pPr>
                              <w:rPr>
                                <w:u w:val="single"/>
                              </w:rPr>
                            </w:pPr>
                            <w:r>
                              <w:rPr>
                                <w:u w:val="single"/>
                              </w:rPr>
                              <w:t>High potential for profit margin growth</w:t>
                            </w:r>
                          </w:p>
                          <w:p w14:paraId="1DA31B12" w14:textId="77777777" w:rsidR="00062D14" w:rsidRDefault="00062D14" w:rsidP="00377F7E"/>
                          <w:p w14:paraId="155245A7" w14:textId="77777777" w:rsidR="00062D14" w:rsidRDefault="00062D14" w:rsidP="00377F7E">
                            <w:r>
                              <w:t>A benefit to shareholders of Urban Logistics’ expansionary path is that it spreads the administrative costs associated with running the company over more assets. The business model of Urban Logistics has high fixed costs, brought about through the sheer cost of operating a functional property company. However, once the company reaches its mature administrative size, as we believe it likely has, these costs will not grow proportionally with the asset base. As expenses related directly to property operation have consistently represented a small proportion of revenue (average 8%) in comparison to administrative costs (average 19%), we expect a widening profit margin as administrative expenses are spread across more revenue. This trend is already reflected in the sustained growth of adjusted (excluding revaluations) net margin since 2018.</w:t>
                            </w:r>
                          </w:p>
                          <w:p w14:paraId="1046CF6B" w14:textId="77777777" w:rsidR="00062D14" w:rsidRDefault="00062D14" w:rsidP="00377F7E"/>
                          <w:p w14:paraId="078FF4BF" w14:textId="77777777" w:rsidR="00062D14" w:rsidRDefault="00062D14" w:rsidP="00377F7E">
                            <w:pPr>
                              <w:rPr>
                                <w:u w:val="single"/>
                              </w:rPr>
                            </w:pPr>
                            <w:r>
                              <w:rPr>
                                <w:u w:val="single"/>
                              </w:rPr>
                              <w:t>Transition to an investable market cap</w:t>
                            </w:r>
                          </w:p>
                          <w:p w14:paraId="38ACF1B1" w14:textId="77777777" w:rsidR="00062D14" w:rsidRDefault="00062D14" w:rsidP="00377F7E">
                            <w:pPr>
                              <w:rPr>
                                <w:u w:val="single"/>
                              </w:rPr>
                            </w:pPr>
                          </w:p>
                          <w:p w14:paraId="5DC0F6E1" w14:textId="77777777" w:rsidR="00062D14" w:rsidRDefault="00062D14" w:rsidP="00377F7E">
                            <w:r>
                              <w:t>It is our belief that the market is not truly recognising the future earnings potential of Urban Logistics due to its status as a Micro-Cap company. As a substantial proportion of institutional managers face constraints in regards to investments into Micro-Caps we believe that demand for Urban Logistics’ stock is artificially subdued. We believe that this is the majority of the reason as to why the market is significantly under-pricing Urban Logistics’ stock.</w:t>
                            </w:r>
                          </w:p>
                          <w:p w14:paraId="4ECBFEF0" w14:textId="77777777" w:rsidR="00062D14" w:rsidRDefault="00062D14" w:rsidP="00377F7E"/>
                          <w:p w14:paraId="030017EE" w14:textId="77777777" w:rsidR="00062D14" w:rsidRDefault="00062D14" w:rsidP="00377F7E">
                            <w:r>
                              <w:t>However, as previously described, Urban Logistics has a well-defined plan to grow and will likely pass the threshold for consideration as a small, rather than micro, cap stock. This reclassification alone, which will likely occur within the next 3 years, we believe will significantly reduce the constraints of institutional managers and drive the price towards our intrinsic estimation.</w:t>
                            </w:r>
                          </w:p>
                          <w:p w14:paraId="35A2B7AA" w14:textId="77777777" w:rsidR="00062D14" w:rsidRPr="008B48BC" w:rsidRDefault="00062D14" w:rsidP="00377F7E"/>
                          <w:p w14:paraId="3E6CC310" w14:textId="77777777" w:rsidR="00062D14" w:rsidRDefault="00062D14" w:rsidP="00377F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9D629B" id="Text Box 31" o:spid="_x0000_s1038" type="#_x0000_t202" style="position:absolute;margin-left:2.9pt;margin-top:9.45pt;width:493.7pt;height:444.55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" fillcolor="white [3201]" stroked="f" strokeweight=".5pt">
                <v:textbox>
                  <w:txbxContent>
                    <w:p w14:paraId="49500380" w14:textId="77777777" w:rsidR="00062D14" w:rsidRDefault="00062D14" w:rsidP="00377F7E">
                      <w:pPr>
                        <w:rPr>
                          <w:u w:val="single"/>
                        </w:rPr>
                      </w:pPr>
                      <w:r>
                        <w:rPr>
                          <w:u w:val="single"/>
                        </w:rPr>
                        <w:t>High potential for profit margin growth</w:t>
                      </w:r>
                    </w:p>
                    <w:p w14:paraId="1DA31B12" w14:textId="77777777" w:rsidR="00062D14" w:rsidRDefault="00062D14" w:rsidP="00377F7E"/>
                    <w:p w14:paraId="155245A7" w14:textId="77777777" w:rsidR="00062D14" w:rsidRDefault="00062D14" w:rsidP="00377F7E">
                      <w:r>
                        <w:t>A benefit to shareholders of Urban Logistics’ expansionary path is that it spreads the administrative costs associated with running the company over more assets. The business model of Urban Logistics has high fixed costs, brought about through the sheer cost of operating a functional property company. However, once the company reaches its mature administrative size, as we believe it likely has, these costs will not grow proportionally with the asset base. As expenses related directly to property operation have consistently represented a small proportion of revenue (average 8%) in comparison to administrative costs (average 19%), we expect a widening profit margin as administrative expenses are spread across more revenue. This trend is already reflected in the sustained growth of adjusted (excluding revaluations) net margin since 2018.</w:t>
                      </w:r>
                    </w:p>
                    <w:p w14:paraId="1046CF6B" w14:textId="77777777" w:rsidR="00062D14" w:rsidRDefault="00062D14" w:rsidP="00377F7E"/>
                    <w:p w14:paraId="078FF4BF" w14:textId="77777777" w:rsidR="00062D14" w:rsidRDefault="00062D14" w:rsidP="00377F7E">
                      <w:pPr>
                        <w:rPr>
                          <w:u w:val="single"/>
                        </w:rPr>
                      </w:pPr>
                      <w:r>
                        <w:rPr>
                          <w:u w:val="single"/>
                        </w:rPr>
                        <w:t>Transition to an investable market cap</w:t>
                      </w:r>
                    </w:p>
                    <w:p w14:paraId="38ACF1B1" w14:textId="77777777" w:rsidR="00062D14" w:rsidRDefault="00062D14" w:rsidP="00377F7E">
                      <w:pPr>
                        <w:rPr>
                          <w:u w:val="single"/>
                        </w:rPr>
                      </w:pPr>
                    </w:p>
                    <w:p w14:paraId="5DC0F6E1" w14:textId="77777777" w:rsidR="00062D14" w:rsidRDefault="00062D14" w:rsidP="00377F7E">
                      <w:r>
                        <w:t>It is our belief that the market is not truly recognising the future earnings potential of Urban Logistics due to its status as a Micro-Cap company. As a substantial proportion of institutional managers face constraints in regards to investments into Micro-Caps we believe that demand for Urban Logistics’ stock is artificially subdued. We believe that this is the majority of the reason as to why the market is significantly under-pricing Urban Logistics’ stock.</w:t>
                      </w:r>
                    </w:p>
                    <w:p w14:paraId="4ECBFEF0" w14:textId="77777777" w:rsidR="00062D14" w:rsidRDefault="00062D14" w:rsidP="00377F7E"/>
                    <w:p w14:paraId="030017EE" w14:textId="77777777" w:rsidR="00062D14" w:rsidRDefault="00062D14" w:rsidP="00377F7E">
                      <w:r>
                        <w:t>However, as previously described, Urban Logistics has a well-defined plan to grow and will likely pass the threshold for consideration as a small, rather than micro, cap stock. This reclassification alone, which will likely occur within the next 3 years, we believe will significantly reduce the constraints of institutional managers and drive the price towards our intrinsic estimation.</w:t>
                      </w:r>
                    </w:p>
                    <w:p w14:paraId="35A2B7AA" w14:textId="77777777" w:rsidR="00062D14" w:rsidRPr="008B48BC" w:rsidRDefault="00062D14" w:rsidP="00377F7E"/>
                    <w:p w14:paraId="3E6CC310" w14:textId="77777777" w:rsidR="00062D14" w:rsidRDefault="00062D14" w:rsidP="00377F7E"/>
                  </w:txbxContent>
                </v:textbox>
              </v:shape>
            </w:pict>
          </mc:Fallback>
        </mc:AlternateContent>
      </w:r>
    </w:p>
    <w:p w14:paraId="7F9CBEDB" w14:textId="77777777" w:rsidR="00377F7E" w:rsidRDefault="00377F7E" w:rsidP="00831D24">
      <w:pPr>
        <w:spacing w:line="235" w:lineRule="auto"/>
        <w:ind w:right="5687"/>
        <w:rPr>
          <w:rFonts w:ascii="Calibri" w:eastAsia="Calibri" w:hAnsi="Calibri" w:cs="Calibri"/>
          <w:color w:val="000000"/>
          <w:sz w:val="22"/>
          <w:szCs w:val="22"/>
        </w:rPr>
      </w:pPr>
    </w:p>
    <w:p w14:paraId="3B52DF67" w14:textId="77777777" w:rsidR="00377F7E" w:rsidRDefault="00377F7E" w:rsidP="00831D24">
      <w:pPr>
        <w:spacing w:line="235" w:lineRule="auto"/>
        <w:ind w:right="5687"/>
        <w:rPr>
          <w:rFonts w:ascii="Calibri" w:eastAsia="Calibri" w:hAnsi="Calibri" w:cs="Calibri"/>
          <w:color w:val="000000"/>
          <w:sz w:val="22"/>
          <w:szCs w:val="22"/>
        </w:rPr>
      </w:pPr>
    </w:p>
    <w:p w14:paraId="75515864" w14:textId="77777777" w:rsidR="00377F7E" w:rsidRDefault="00377F7E" w:rsidP="00831D24">
      <w:pPr>
        <w:spacing w:line="235" w:lineRule="auto"/>
        <w:ind w:right="5687"/>
        <w:rPr>
          <w:rFonts w:ascii="Calibri" w:eastAsia="Calibri" w:hAnsi="Calibri" w:cs="Calibri"/>
          <w:color w:val="000000"/>
          <w:sz w:val="22"/>
          <w:szCs w:val="22"/>
        </w:rPr>
      </w:pPr>
    </w:p>
    <w:p w14:paraId="4CB8FCB2" w14:textId="77777777" w:rsidR="00377F7E" w:rsidRDefault="00377F7E" w:rsidP="00831D24">
      <w:pPr>
        <w:spacing w:line="235" w:lineRule="auto"/>
        <w:ind w:right="5687"/>
        <w:rPr>
          <w:rFonts w:ascii="Calibri" w:eastAsia="Calibri" w:hAnsi="Calibri" w:cs="Calibri"/>
          <w:color w:val="000000"/>
          <w:sz w:val="22"/>
          <w:szCs w:val="22"/>
        </w:rPr>
      </w:pPr>
    </w:p>
    <w:p w14:paraId="6FC328FB" w14:textId="77777777" w:rsidR="00377F7E" w:rsidRDefault="00377F7E" w:rsidP="00831D24">
      <w:pPr>
        <w:spacing w:line="235" w:lineRule="auto"/>
        <w:ind w:right="5687"/>
        <w:rPr>
          <w:rFonts w:ascii="Calibri" w:eastAsia="Calibri" w:hAnsi="Calibri" w:cs="Calibri"/>
          <w:color w:val="000000"/>
          <w:sz w:val="22"/>
          <w:szCs w:val="22"/>
        </w:rPr>
      </w:pPr>
    </w:p>
    <w:p w14:paraId="2D0809BD" w14:textId="77777777" w:rsidR="00377F7E" w:rsidRDefault="00377F7E" w:rsidP="00831D24">
      <w:pPr>
        <w:spacing w:line="235" w:lineRule="auto"/>
        <w:ind w:right="5687"/>
        <w:rPr>
          <w:rFonts w:ascii="Calibri" w:eastAsia="Calibri" w:hAnsi="Calibri" w:cs="Calibri"/>
          <w:color w:val="000000"/>
          <w:sz w:val="22"/>
          <w:szCs w:val="22"/>
        </w:rPr>
      </w:pPr>
    </w:p>
    <w:p w14:paraId="286A6882" w14:textId="77777777" w:rsidR="00377F7E" w:rsidRDefault="00377F7E" w:rsidP="00831D24">
      <w:pPr>
        <w:spacing w:line="235" w:lineRule="auto"/>
        <w:ind w:right="5687"/>
        <w:rPr>
          <w:rFonts w:ascii="Calibri" w:eastAsia="Calibri" w:hAnsi="Calibri" w:cs="Calibri"/>
          <w:color w:val="000000"/>
          <w:sz w:val="22"/>
          <w:szCs w:val="22"/>
        </w:rPr>
      </w:pPr>
    </w:p>
    <w:p w14:paraId="15381CB2" w14:textId="77777777" w:rsidR="00377F7E" w:rsidRDefault="00377F7E" w:rsidP="00831D24">
      <w:pPr>
        <w:spacing w:line="235" w:lineRule="auto"/>
        <w:ind w:right="5687"/>
        <w:rPr>
          <w:rFonts w:ascii="Calibri" w:eastAsia="Calibri" w:hAnsi="Calibri" w:cs="Calibri"/>
          <w:color w:val="000000"/>
          <w:sz w:val="22"/>
          <w:szCs w:val="22"/>
        </w:rPr>
      </w:pPr>
    </w:p>
    <w:p w14:paraId="24B1877F" w14:textId="77777777" w:rsidR="00377F7E" w:rsidRDefault="00377F7E" w:rsidP="00831D24">
      <w:pPr>
        <w:spacing w:line="235" w:lineRule="auto"/>
        <w:ind w:right="5687"/>
        <w:rPr>
          <w:rFonts w:ascii="Calibri" w:eastAsia="Calibri" w:hAnsi="Calibri" w:cs="Calibri"/>
          <w:color w:val="000000"/>
          <w:sz w:val="22"/>
          <w:szCs w:val="22"/>
        </w:rPr>
      </w:pPr>
    </w:p>
    <w:p w14:paraId="49A7DAC5" w14:textId="77777777" w:rsidR="00377F7E" w:rsidRDefault="00377F7E" w:rsidP="00831D24">
      <w:pPr>
        <w:spacing w:line="235" w:lineRule="auto"/>
        <w:ind w:right="5687"/>
        <w:rPr>
          <w:rFonts w:ascii="Calibri" w:eastAsia="Calibri" w:hAnsi="Calibri" w:cs="Calibri"/>
          <w:color w:val="000000"/>
          <w:sz w:val="22"/>
          <w:szCs w:val="22"/>
        </w:rPr>
      </w:pPr>
    </w:p>
    <w:p w14:paraId="478083EB" w14:textId="77777777" w:rsidR="00377F7E" w:rsidRDefault="00377F7E" w:rsidP="00831D24">
      <w:pPr>
        <w:spacing w:line="235" w:lineRule="auto"/>
        <w:ind w:right="5687"/>
        <w:rPr>
          <w:rFonts w:ascii="Calibri" w:eastAsia="Calibri" w:hAnsi="Calibri" w:cs="Calibri"/>
          <w:color w:val="000000"/>
          <w:sz w:val="22"/>
          <w:szCs w:val="22"/>
        </w:rPr>
      </w:pPr>
    </w:p>
    <w:p w14:paraId="2851ABBC" w14:textId="77777777" w:rsidR="00377F7E" w:rsidRDefault="00377F7E" w:rsidP="00831D24">
      <w:pPr>
        <w:spacing w:line="235" w:lineRule="auto"/>
        <w:ind w:right="5687"/>
        <w:rPr>
          <w:rFonts w:ascii="Calibri" w:eastAsia="Calibri" w:hAnsi="Calibri" w:cs="Calibri"/>
          <w:color w:val="000000"/>
          <w:sz w:val="22"/>
          <w:szCs w:val="22"/>
        </w:rPr>
      </w:pPr>
    </w:p>
    <w:p w14:paraId="60360B36" w14:textId="77777777" w:rsidR="00377F7E" w:rsidRDefault="00377F7E" w:rsidP="00831D24">
      <w:pPr>
        <w:spacing w:line="235" w:lineRule="auto"/>
        <w:ind w:right="5687"/>
        <w:rPr>
          <w:rFonts w:ascii="Calibri" w:eastAsia="Calibri" w:hAnsi="Calibri" w:cs="Calibri"/>
          <w:color w:val="000000"/>
          <w:sz w:val="22"/>
          <w:szCs w:val="22"/>
        </w:rPr>
      </w:pPr>
    </w:p>
    <w:p w14:paraId="1458EE23" w14:textId="77777777" w:rsidR="00377F7E" w:rsidRDefault="00377F7E" w:rsidP="00831D24">
      <w:pPr>
        <w:spacing w:line="235" w:lineRule="auto"/>
        <w:ind w:right="5687"/>
        <w:rPr>
          <w:rFonts w:ascii="Calibri" w:eastAsia="Calibri" w:hAnsi="Calibri" w:cs="Calibri"/>
          <w:color w:val="000000"/>
          <w:sz w:val="22"/>
          <w:szCs w:val="22"/>
        </w:rPr>
      </w:pPr>
    </w:p>
    <w:p w14:paraId="32B46E30" w14:textId="77777777" w:rsidR="00377F7E" w:rsidRDefault="00377F7E" w:rsidP="00831D24">
      <w:pPr>
        <w:spacing w:line="235" w:lineRule="auto"/>
        <w:ind w:right="5687"/>
        <w:rPr>
          <w:rFonts w:ascii="Calibri" w:eastAsia="Calibri" w:hAnsi="Calibri" w:cs="Calibri"/>
          <w:color w:val="000000"/>
          <w:sz w:val="22"/>
          <w:szCs w:val="22"/>
        </w:rPr>
      </w:pPr>
    </w:p>
    <w:p w14:paraId="4EF3E720" w14:textId="77777777" w:rsidR="00377F7E" w:rsidRDefault="00377F7E" w:rsidP="00831D24">
      <w:pPr>
        <w:spacing w:line="235" w:lineRule="auto"/>
        <w:ind w:right="5687"/>
        <w:rPr>
          <w:rFonts w:ascii="Calibri" w:eastAsia="Calibri" w:hAnsi="Calibri" w:cs="Calibri"/>
          <w:color w:val="000000"/>
          <w:sz w:val="22"/>
          <w:szCs w:val="22"/>
        </w:rPr>
      </w:pPr>
    </w:p>
    <w:p w14:paraId="7DF69F99" w14:textId="77777777" w:rsidR="00377F7E" w:rsidRDefault="00377F7E" w:rsidP="00831D24">
      <w:pPr>
        <w:spacing w:line="235" w:lineRule="auto"/>
        <w:ind w:right="5687"/>
        <w:rPr>
          <w:rFonts w:ascii="Calibri" w:eastAsia="Calibri" w:hAnsi="Calibri" w:cs="Calibri"/>
          <w:color w:val="000000"/>
          <w:sz w:val="22"/>
          <w:szCs w:val="22"/>
        </w:rPr>
      </w:pPr>
    </w:p>
    <w:p w14:paraId="79559CC6" w14:textId="77777777" w:rsidR="00377F7E" w:rsidRDefault="00377F7E" w:rsidP="00831D24">
      <w:pPr>
        <w:spacing w:line="235" w:lineRule="auto"/>
        <w:ind w:right="5687"/>
        <w:rPr>
          <w:rFonts w:ascii="Calibri" w:eastAsia="Calibri" w:hAnsi="Calibri" w:cs="Calibri"/>
          <w:color w:val="000000"/>
          <w:sz w:val="22"/>
          <w:szCs w:val="22"/>
        </w:rPr>
      </w:pPr>
    </w:p>
    <w:p w14:paraId="646C6338" w14:textId="77777777" w:rsidR="00377F7E" w:rsidRDefault="00377F7E" w:rsidP="00831D24">
      <w:pPr>
        <w:spacing w:line="235" w:lineRule="auto"/>
        <w:ind w:right="5687"/>
        <w:rPr>
          <w:rFonts w:ascii="Calibri" w:eastAsia="Calibri" w:hAnsi="Calibri" w:cs="Calibri"/>
          <w:color w:val="000000"/>
          <w:sz w:val="22"/>
          <w:szCs w:val="22"/>
        </w:rPr>
      </w:pPr>
    </w:p>
    <w:p w14:paraId="2D274EF6" w14:textId="77777777" w:rsidR="00377F7E" w:rsidRDefault="00377F7E" w:rsidP="00831D24">
      <w:pPr>
        <w:spacing w:line="235" w:lineRule="auto"/>
        <w:ind w:right="5687"/>
        <w:rPr>
          <w:rFonts w:ascii="Calibri" w:eastAsia="Calibri" w:hAnsi="Calibri" w:cs="Calibri"/>
          <w:color w:val="000000"/>
          <w:sz w:val="22"/>
          <w:szCs w:val="22"/>
        </w:rPr>
      </w:pPr>
    </w:p>
    <w:p w14:paraId="580CF142" w14:textId="77777777" w:rsidR="00377F7E" w:rsidRDefault="00377F7E" w:rsidP="00831D24">
      <w:pPr>
        <w:spacing w:line="235" w:lineRule="auto"/>
        <w:ind w:right="5687"/>
        <w:rPr>
          <w:rFonts w:ascii="Calibri" w:eastAsia="Calibri" w:hAnsi="Calibri" w:cs="Calibri"/>
          <w:color w:val="000000"/>
          <w:sz w:val="22"/>
          <w:szCs w:val="22"/>
        </w:rPr>
      </w:pPr>
    </w:p>
    <w:p w14:paraId="03904C2B" w14:textId="77777777" w:rsidR="00377F7E" w:rsidRDefault="00377F7E" w:rsidP="00831D24">
      <w:pPr>
        <w:spacing w:line="235" w:lineRule="auto"/>
        <w:ind w:right="5687"/>
        <w:rPr>
          <w:rFonts w:ascii="Calibri" w:eastAsia="Calibri" w:hAnsi="Calibri" w:cs="Calibri"/>
          <w:color w:val="000000"/>
          <w:sz w:val="22"/>
          <w:szCs w:val="22"/>
        </w:rPr>
      </w:pPr>
    </w:p>
    <w:p w14:paraId="51C6C345" w14:textId="77777777" w:rsidR="00377F7E" w:rsidRDefault="00377F7E" w:rsidP="00831D24">
      <w:pPr>
        <w:spacing w:line="235" w:lineRule="auto"/>
        <w:ind w:right="5687"/>
        <w:rPr>
          <w:rFonts w:ascii="Calibri" w:eastAsia="Calibri" w:hAnsi="Calibri" w:cs="Calibri"/>
          <w:color w:val="000000"/>
          <w:sz w:val="22"/>
          <w:szCs w:val="22"/>
        </w:rPr>
      </w:pPr>
    </w:p>
    <w:p w14:paraId="513E0A01" w14:textId="77777777" w:rsidR="00377F7E" w:rsidRDefault="00377F7E" w:rsidP="00831D24">
      <w:pPr>
        <w:spacing w:line="235" w:lineRule="auto"/>
        <w:ind w:right="5687"/>
        <w:rPr>
          <w:rFonts w:ascii="Calibri" w:eastAsia="Calibri" w:hAnsi="Calibri" w:cs="Calibri"/>
          <w:color w:val="000000"/>
          <w:sz w:val="22"/>
          <w:szCs w:val="22"/>
        </w:rPr>
      </w:pPr>
    </w:p>
    <w:p w14:paraId="54129D55" w14:textId="77777777" w:rsidR="00377F7E" w:rsidRDefault="00377F7E" w:rsidP="00831D24">
      <w:pPr>
        <w:spacing w:line="235" w:lineRule="auto"/>
        <w:ind w:right="5687"/>
        <w:rPr>
          <w:rFonts w:ascii="Calibri" w:eastAsia="Calibri" w:hAnsi="Calibri" w:cs="Calibri"/>
          <w:color w:val="000000"/>
          <w:sz w:val="22"/>
          <w:szCs w:val="22"/>
        </w:rPr>
      </w:pPr>
    </w:p>
    <w:p w14:paraId="692A9EF7" w14:textId="77777777" w:rsidR="00377F7E" w:rsidRDefault="00377F7E" w:rsidP="00831D24">
      <w:pPr>
        <w:spacing w:line="235" w:lineRule="auto"/>
        <w:ind w:right="5687"/>
        <w:rPr>
          <w:rFonts w:ascii="Calibri" w:eastAsia="Calibri" w:hAnsi="Calibri" w:cs="Calibri"/>
          <w:color w:val="000000"/>
          <w:sz w:val="22"/>
          <w:szCs w:val="22"/>
        </w:rPr>
      </w:pPr>
    </w:p>
    <w:p w14:paraId="232168D0" w14:textId="77777777" w:rsidR="00377F7E" w:rsidRDefault="00377F7E" w:rsidP="00831D24">
      <w:pPr>
        <w:spacing w:line="235" w:lineRule="auto"/>
        <w:ind w:right="5687"/>
        <w:rPr>
          <w:rFonts w:ascii="Calibri" w:eastAsia="Calibri" w:hAnsi="Calibri" w:cs="Calibri"/>
          <w:color w:val="000000"/>
          <w:sz w:val="22"/>
          <w:szCs w:val="22"/>
        </w:rPr>
      </w:pPr>
    </w:p>
    <w:p w14:paraId="53BEA96F" w14:textId="77777777" w:rsidR="00377F7E" w:rsidRDefault="00377F7E" w:rsidP="00831D24">
      <w:pPr>
        <w:spacing w:line="235" w:lineRule="auto"/>
        <w:ind w:right="5687"/>
        <w:rPr>
          <w:rFonts w:ascii="Calibri" w:eastAsia="Calibri" w:hAnsi="Calibri" w:cs="Calibri"/>
          <w:color w:val="000000"/>
          <w:sz w:val="22"/>
          <w:szCs w:val="22"/>
        </w:rPr>
      </w:pPr>
    </w:p>
    <w:p w14:paraId="5476F82A" w14:textId="77777777" w:rsidR="00377F7E" w:rsidRDefault="00377F7E" w:rsidP="00831D24">
      <w:pPr>
        <w:spacing w:line="235" w:lineRule="auto"/>
        <w:ind w:right="5687"/>
        <w:rPr>
          <w:rFonts w:ascii="Calibri" w:eastAsia="Calibri" w:hAnsi="Calibri" w:cs="Calibri"/>
          <w:color w:val="000000"/>
          <w:sz w:val="22"/>
          <w:szCs w:val="22"/>
        </w:rPr>
      </w:pPr>
    </w:p>
    <w:p w14:paraId="731B5239" w14:textId="77777777" w:rsidR="00377F7E" w:rsidRDefault="00377F7E" w:rsidP="00831D24">
      <w:pPr>
        <w:spacing w:line="235" w:lineRule="auto"/>
        <w:ind w:right="5687"/>
        <w:rPr>
          <w:rFonts w:ascii="Calibri" w:eastAsia="Calibri" w:hAnsi="Calibri" w:cs="Calibri"/>
          <w:color w:val="000000"/>
          <w:sz w:val="22"/>
          <w:szCs w:val="22"/>
        </w:rPr>
      </w:pPr>
    </w:p>
    <w:p w14:paraId="7A2E5548" w14:textId="77777777" w:rsidR="00377F7E" w:rsidRDefault="00377F7E" w:rsidP="00831D24">
      <w:pPr>
        <w:spacing w:line="235" w:lineRule="auto"/>
        <w:ind w:right="5687"/>
        <w:rPr>
          <w:rFonts w:ascii="Calibri" w:eastAsia="Calibri" w:hAnsi="Calibri" w:cs="Calibri"/>
          <w:color w:val="000000"/>
          <w:sz w:val="22"/>
          <w:szCs w:val="22"/>
        </w:rPr>
      </w:pPr>
    </w:p>
    <w:p w14:paraId="5E8A9FAB" w14:textId="77777777" w:rsidR="00377F7E" w:rsidRDefault="00377F7E" w:rsidP="00831D24">
      <w:pPr>
        <w:spacing w:line="235" w:lineRule="auto"/>
        <w:ind w:right="5687"/>
        <w:rPr>
          <w:rFonts w:ascii="Calibri" w:eastAsia="Calibri" w:hAnsi="Calibri" w:cs="Calibri"/>
          <w:color w:val="000000"/>
          <w:sz w:val="22"/>
          <w:szCs w:val="22"/>
        </w:rPr>
      </w:pPr>
    </w:p>
    <w:p w14:paraId="071C4E59" w14:textId="77777777" w:rsidR="00377F7E" w:rsidRDefault="00377F7E" w:rsidP="00831D24">
      <w:pPr>
        <w:spacing w:line="235" w:lineRule="auto"/>
        <w:ind w:right="5687"/>
        <w:rPr>
          <w:rFonts w:ascii="Calibri" w:eastAsia="Calibri" w:hAnsi="Calibri" w:cs="Calibri"/>
          <w:color w:val="000000"/>
          <w:sz w:val="22"/>
          <w:szCs w:val="22"/>
        </w:rPr>
      </w:pPr>
    </w:p>
    <w:p w14:paraId="63F65D09" w14:textId="77777777" w:rsidR="00377F7E" w:rsidRDefault="00377F7E" w:rsidP="00831D24">
      <w:pPr>
        <w:spacing w:line="235" w:lineRule="auto"/>
        <w:ind w:right="5687"/>
        <w:rPr>
          <w:rFonts w:ascii="Calibri" w:eastAsia="Calibri" w:hAnsi="Calibri" w:cs="Calibri"/>
          <w:color w:val="000000"/>
          <w:sz w:val="22"/>
          <w:szCs w:val="22"/>
        </w:rPr>
      </w:pPr>
    </w:p>
    <w:p w14:paraId="7D5BFEA7" w14:textId="77777777" w:rsidR="00377F7E" w:rsidRDefault="00377F7E" w:rsidP="00831D24">
      <w:pPr>
        <w:spacing w:line="235" w:lineRule="auto"/>
        <w:ind w:right="5687"/>
        <w:rPr>
          <w:rFonts w:ascii="Calibri" w:eastAsia="Calibri" w:hAnsi="Calibri" w:cs="Calibri"/>
          <w:color w:val="000000"/>
          <w:sz w:val="22"/>
          <w:szCs w:val="22"/>
        </w:rPr>
      </w:pPr>
    </w:p>
    <w:p w14:paraId="4D454B72" w14:textId="77777777" w:rsidR="00377F7E" w:rsidRDefault="00377F7E" w:rsidP="00831D24">
      <w:pPr>
        <w:spacing w:line="235" w:lineRule="auto"/>
        <w:ind w:right="5687"/>
        <w:rPr>
          <w:rFonts w:ascii="Calibri" w:eastAsia="Calibri" w:hAnsi="Calibri" w:cs="Calibri"/>
          <w:color w:val="000000"/>
          <w:sz w:val="22"/>
          <w:szCs w:val="22"/>
        </w:rPr>
      </w:pPr>
    </w:p>
    <w:p w14:paraId="766C3B23" w14:textId="77777777" w:rsidR="00377F7E" w:rsidRDefault="00377F7E" w:rsidP="00831D24">
      <w:pPr>
        <w:spacing w:line="235" w:lineRule="auto"/>
        <w:ind w:right="5687"/>
        <w:rPr>
          <w:rFonts w:ascii="Calibri" w:eastAsia="Calibri" w:hAnsi="Calibri" w:cs="Calibri"/>
          <w:color w:val="000000"/>
          <w:sz w:val="22"/>
          <w:szCs w:val="22"/>
        </w:rPr>
      </w:pPr>
    </w:p>
    <w:p w14:paraId="3125AF0B" w14:textId="77777777" w:rsidR="00377F7E" w:rsidRDefault="00377F7E" w:rsidP="00831D24">
      <w:pPr>
        <w:spacing w:line="235" w:lineRule="auto"/>
        <w:ind w:right="5687"/>
        <w:rPr>
          <w:rFonts w:ascii="Calibri" w:eastAsia="Calibri" w:hAnsi="Calibri" w:cs="Calibri"/>
          <w:color w:val="000000"/>
          <w:sz w:val="22"/>
          <w:szCs w:val="22"/>
        </w:rPr>
      </w:pPr>
    </w:p>
    <w:p w14:paraId="0DB90042" w14:textId="77777777" w:rsidR="00377F7E" w:rsidRDefault="00377F7E" w:rsidP="00831D24">
      <w:pPr>
        <w:spacing w:line="235" w:lineRule="auto"/>
        <w:ind w:right="5687"/>
        <w:rPr>
          <w:rFonts w:ascii="Calibri" w:eastAsia="Calibri" w:hAnsi="Calibri" w:cs="Calibri"/>
          <w:color w:val="000000"/>
          <w:sz w:val="22"/>
          <w:szCs w:val="22"/>
        </w:rPr>
      </w:pPr>
    </w:p>
    <w:p w14:paraId="0D4B8D7E" w14:textId="77777777" w:rsidR="00377F7E" w:rsidRDefault="00377F7E" w:rsidP="00831D24">
      <w:pPr>
        <w:spacing w:line="235" w:lineRule="auto"/>
        <w:ind w:right="5687"/>
        <w:rPr>
          <w:rFonts w:ascii="Calibri" w:eastAsia="Calibri" w:hAnsi="Calibri" w:cs="Calibri"/>
          <w:color w:val="000000"/>
          <w:sz w:val="22"/>
          <w:szCs w:val="22"/>
        </w:rPr>
      </w:pPr>
    </w:p>
    <w:p w14:paraId="267FC004" w14:textId="77777777" w:rsidR="00377F7E" w:rsidRDefault="00377F7E" w:rsidP="00831D24">
      <w:pPr>
        <w:spacing w:line="235" w:lineRule="auto"/>
        <w:ind w:right="5687"/>
        <w:rPr>
          <w:rFonts w:ascii="Calibri" w:eastAsia="Calibri" w:hAnsi="Calibri" w:cs="Calibri"/>
          <w:color w:val="000000"/>
          <w:sz w:val="22"/>
          <w:szCs w:val="22"/>
        </w:rPr>
      </w:pPr>
    </w:p>
    <w:p w14:paraId="0DF6177F" w14:textId="77777777" w:rsidR="00377F7E" w:rsidRDefault="00377F7E" w:rsidP="00831D24">
      <w:pPr>
        <w:spacing w:line="235" w:lineRule="auto"/>
        <w:ind w:right="5687"/>
        <w:rPr>
          <w:rFonts w:ascii="Calibri" w:eastAsia="Calibri" w:hAnsi="Calibri" w:cs="Calibri"/>
          <w:color w:val="000000"/>
          <w:sz w:val="22"/>
          <w:szCs w:val="22"/>
        </w:rPr>
      </w:pPr>
    </w:p>
    <w:p w14:paraId="34F025E6" w14:textId="77777777" w:rsidR="00377F7E" w:rsidRDefault="00377F7E" w:rsidP="00831D24">
      <w:pPr>
        <w:spacing w:line="235" w:lineRule="auto"/>
        <w:ind w:right="5687"/>
        <w:rPr>
          <w:rFonts w:ascii="Calibri" w:eastAsia="Calibri" w:hAnsi="Calibri" w:cs="Calibri"/>
          <w:color w:val="000000"/>
          <w:sz w:val="22"/>
          <w:szCs w:val="22"/>
        </w:rPr>
      </w:pPr>
    </w:p>
    <w:p w14:paraId="7BEABC52" w14:textId="77777777" w:rsidR="00377F7E" w:rsidRDefault="00377F7E" w:rsidP="00831D24">
      <w:pPr>
        <w:spacing w:line="235" w:lineRule="auto"/>
        <w:ind w:right="5687"/>
        <w:rPr>
          <w:rFonts w:ascii="Calibri" w:eastAsia="Calibri" w:hAnsi="Calibri" w:cs="Calibri"/>
          <w:color w:val="000000"/>
          <w:sz w:val="22"/>
          <w:szCs w:val="22"/>
        </w:rPr>
      </w:pPr>
    </w:p>
    <w:p w14:paraId="774798D6" w14:textId="77777777" w:rsidR="00377F7E" w:rsidRDefault="00377F7E" w:rsidP="00831D24">
      <w:pPr>
        <w:spacing w:line="235" w:lineRule="auto"/>
        <w:ind w:right="5687"/>
        <w:rPr>
          <w:rFonts w:ascii="Calibri" w:eastAsia="Calibri" w:hAnsi="Calibri" w:cs="Calibri"/>
          <w:color w:val="000000"/>
          <w:sz w:val="22"/>
          <w:szCs w:val="22"/>
        </w:rPr>
      </w:pPr>
    </w:p>
    <w:p w14:paraId="10BF3E1C" w14:textId="77777777" w:rsidR="00377F7E" w:rsidRDefault="00377F7E" w:rsidP="00831D24">
      <w:pPr>
        <w:spacing w:line="235" w:lineRule="auto"/>
        <w:ind w:right="5687"/>
        <w:rPr>
          <w:rFonts w:ascii="Calibri" w:eastAsia="Calibri" w:hAnsi="Calibri" w:cs="Calibri"/>
          <w:color w:val="000000"/>
          <w:sz w:val="22"/>
          <w:szCs w:val="22"/>
        </w:rPr>
      </w:pPr>
    </w:p>
    <w:p w14:paraId="13BE6F19" w14:textId="77777777" w:rsidR="00377F7E" w:rsidRDefault="00377F7E" w:rsidP="00831D24">
      <w:pPr>
        <w:spacing w:line="235" w:lineRule="auto"/>
        <w:ind w:right="5687"/>
        <w:rPr>
          <w:rFonts w:ascii="Calibri" w:eastAsia="Calibri" w:hAnsi="Calibri" w:cs="Calibri"/>
          <w:color w:val="000000"/>
          <w:sz w:val="22"/>
          <w:szCs w:val="22"/>
        </w:rPr>
      </w:pPr>
    </w:p>
    <w:p w14:paraId="0BB8CB08" w14:textId="77777777" w:rsidR="00377F7E" w:rsidRDefault="00377F7E" w:rsidP="00831D24">
      <w:pPr>
        <w:spacing w:line="235" w:lineRule="auto"/>
        <w:ind w:right="5687"/>
        <w:rPr>
          <w:rFonts w:ascii="Calibri" w:eastAsia="Calibri" w:hAnsi="Calibri" w:cs="Calibri"/>
          <w:color w:val="000000"/>
          <w:sz w:val="22"/>
          <w:szCs w:val="22"/>
        </w:rPr>
      </w:pPr>
    </w:p>
    <w:p w14:paraId="4B51A72E" w14:textId="77777777" w:rsidR="00377F7E" w:rsidRDefault="00377F7E" w:rsidP="00831D24">
      <w:pPr>
        <w:spacing w:line="235" w:lineRule="auto"/>
        <w:ind w:right="5687"/>
        <w:rPr>
          <w:rFonts w:ascii="Calibri" w:eastAsia="Calibri" w:hAnsi="Calibri" w:cs="Calibri"/>
          <w:color w:val="000000"/>
          <w:sz w:val="22"/>
          <w:szCs w:val="22"/>
        </w:rPr>
      </w:pPr>
    </w:p>
    <w:p w14:paraId="16876F2C" w14:textId="77777777" w:rsidR="00377F7E" w:rsidRDefault="00377F7E" w:rsidP="00831D24">
      <w:pPr>
        <w:spacing w:line="235" w:lineRule="auto"/>
        <w:ind w:right="5687"/>
        <w:rPr>
          <w:rFonts w:ascii="Calibri" w:eastAsia="Calibri" w:hAnsi="Calibri" w:cs="Calibri"/>
          <w:color w:val="000000"/>
          <w:sz w:val="22"/>
          <w:szCs w:val="22"/>
        </w:rPr>
      </w:pPr>
    </w:p>
    <w:p w14:paraId="64C0AE31" w14:textId="77777777" w:rsidR="00377F7E" w:rsidRDefault="00377F7E" w:rsidP="00831D24">
      <w:pPr>
        <w:spacing w:line="235" w:lineRule="auto"/>
        <w:ind w:right="5687"/>
        <w:rPr>
          <w:rFonts w:ascii="Calibri" w:eastAsia="Calibri" w:hAnsi="Calibri" w:cs="Calibri"/>
          <w:color w:val="000000"/>
          <w:sz w:val="22"/>
          <w:szCs w:val="22"/>
        </w:rPr>
      </w:pPr>
    </w:p>
    <w:p w14:paraId="4EE78B61" w14:textId="77777777" w:rsidR="00377F7E" w:rsidRDefault="00377F7E" w:rsidP="00831D24">
      <w:pPr>
        <w:spacing w:line="235" w:lineRule="auto"/>
        <w:ind w:right="5687"/>
        <w:rPr>
          <w:rFonts w:ascii="Calibri" w:eastAsia="Calibri" w:hAnsi="Calibri" w:cs="Calibri"/>
          <w:color w:val="000000"/>
          <w:sz w:val="22"/>
          <w:szCs w:val="22"/>
        </w:rPr>
      </w:pPr>
    </w:p>
    <w:p w14:paraId="23DAF290" w14:textId="77777777" w:rsidR="00377F7E" w:rsidRDefault="00377F7E" w:rsidP="00831D24">
      <w:pPr>
        <w:spacing w:line="235" w:lineRule="auto"/>
        <w:ind w:right="5687"/>
        <w:rPr>
          <w:rFonts w:ascii="Calibri" w:eastAsia="Calibri" w:hAnsi="Calibri" w:cs="Calibri"/>
          <w:color w:val="000000"/>
          <w:sz w:val="22"/>
          <w:szCs w:val="22"/>
        </w:rPr>
      </w:pPr>
    </w:p>
    <w:p w14:paraId="21984E7D" w14:textId="77777777" w:rsidR="003443BC" w:rsidRPr="00377F7E" w:rsidRDefault="003443BC" w:rsidP="00377F7E">
      <w:pPr>
        <w:spacing w:line="235" w:lineRule="auto"/>
        <w:ind w:right="5687"/>
        <w:rPr>
          <w:rFonts w:ascii="Calibri" w:eastAsia="Calibri" w:hAnsi="Calibri" w:cs="Calibri"/>
          <w:color w:val="000000"/>
          <w:sz w:val="22"/>
          <w:szCs w:val="22"/>
        </w:rPr>
      </w:pPr>
      <w:r w:rsidRPr="006103C6">
        <w:rPr>
          <w:rFonts w:ascii="Times New Roman" w:eastAsia="Times New Roman" w:hAnsi="Times New Roman" w:cs="Times New Roman"/>
          <w:noProof/>
        </w:rPr>
        <w:lastRenderedPageBreak/>
        <w:drawing>
          <wp:anchor distT="0" distB="0" distL="114300" distR="114300" simplePos="0" relativeHeight="251721216" behindDoc="0" locked="0" layoutInCell="1" allowOverlap="1" wp14:anchorId="12CC0E8B" wp14:editId="3956AA69">
            <wp:simplePos x="0" y="0"/>
            <wp:positionH relativeFrom="column">
              <wp:posOffset>3981691</wp:posOffset>
            </wp:positionH>
            <wp:positionV relativeFrom="paragraph">
              <wp:posOffset>410</wp:posOffset>
            </wp:positionV>
            <wp:extent cx="2325370" cy="361950"/>
            <wp:effectExtent l="0" t="0" r="0" b="6350"/>
            <wp:wrapSquare wrapText="bothSides"/>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5370"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00571FF1">
        <w:rPr>
          <w:rFonts w:ascii="Calibri" w:eastAsia="Calibri" w:hAnsi="Calibri" w:cs="Calibri"/>
          <w:b/>
          <w:bCs/>
          <w:noProof/>
          <w:color w:val="000000"/>
          <w:sz w:val="22"/>
          <w:szCs w:val="22"/>
        </w:rPr>
        <mc:AlternateContent>
          <mc:Choice Requires="wps">
            <w:drawing>
              <wp:anchor distT="0" distB="0" distL="114300" distR="114300" simplePos="0" relativeHeight="251708928" behindDoc="0" locked="0" layoutInCell="1" allowOverlap="1" wp14:anchorId="4CD455A9" wp14:editId="08E7143B">
                <wp:simplePos x="0" y="0"/>
                <wp:positionH relativeFrom="column">
                  <wp:posOffset>66860</wp:posOffset>
                </wp:positionH>
                <wp:positionV relativeFrom="paragraph">
                  <wp:posOffset>252947</wp:posOffset>
                </wp:positionV>
                <wp:extent cx="4189730" cy="7998106"/>
                <wp:effectExtent l="0" t="0" r="1270" b="3175"/>
                <wp:wrapNone/>
                <wp:docPr id="77" name="Text Box 77"/>
                <wp:cNvGraphicFramePr/>
                <a:graphic xmlns:a="http://schemas.openxmlformats.org/drawingml/2006/main">
                  <a:graphicData uri="http://schemas.microsoft.com/office/word/2010/wordprocessingShape">
                    <wps:wsp>
                      <wps:cNvSpPr txBox="1"/>
                      <wps:spPr>
                        <a:xfrm>
                          <a:off x="0" y="0"/>
                          <a:ext cx="4189730" cy="7998106"/>
                        </a:xfrm>
                        <a:prstGeom prst="rect">
                          <a:avLst/>
                        </a:prstGeom>
                        <a:solidFill>
                          <a:schemeClr val="lt1"/>
                        </a:solidFill>
                        <a:ln w="6350">
                          <a:noFill/>
                        </a:ln>
                      </wps:spPr>
                      <wps:txbx>
                        <w:txbxContent>
                          <w:p w14:paraId="7C077D22" w14:textId="77777777" w:rsidR="00062D14" w:rsidRDefault="00062D14">
                            <w:pPr>
                              <w:rPr>
                                <w:u w:val="single"/>
                              </w:rPr>
                            </w:pPr>
                            <w:r>
                              <w:rPr>
                                <w:u w:val="single"/>
                              </w:rPr>
                              <w:t>Revenue</w:t>
                            </w:r>
                          </w:p>
                          <w:p w14:paraId="465889F2" w14:textId="77777777" w:rsidR="00062D14" w:rsidRDefault="00062D14">
                            <w:pPr>
                              <w:rPr>
                                <w:u w:val="single"/>
                              </w:rPr>
                            </w:pPr>
                          </w:p>
                          <w:p w14:paraId="4DB0E7D9" w14:textId="77777777" w:rsidR="00062D14" w:rsidRDefault="00062D14">
                            <w:r>
                              <w:t>Urban Logistics’ revenue has followed a healthy growth pattern, largely in line with its assets acquisitions. Revenue is overwhelmingly derived from warehouse rental income. This revenue is bond like in that it is tied to legally binding contracts with a weighted average unexpired lease term of 6.1 years (5.1 excl long leases). This term is in line with direct competitor Warehouse REIT (5.1 years), however is below the average of competitors with more diversified portfolios such as SEGRO (8.9 years) and London Metric (12.5 years). We believe that this is not a cause for concern as the WAULT is within the company’s target range, and strong demand conditions make it likely that at the end of contracts management will be able to secure rental uplifts.</w:t>
                            </w:r>
                          </w:p>
                          <w:p w14:paraId="16BB4EFE" w14:textId="77777777" w:rsidR="00062D14" w:rsidRDefault="00062D14"/>
                          <w:p w14:paraId="2AD233FA" w14:textId="77777777" w:rsidR="00062D14" w:rsidRDefault="00062D14">
                            <w:r>
                              <w:t>The tenant portfolio is sufficiently diversified, with a wide variety of tenants occupying the Urban Logistics’ warehouses. Companies with strong balance sheets, operating within non-cyclical industries have been selected by management as tenants. 89% of these tenants have been classed, by Dun &amp; Bradstreet, as low/moderate risk.</w:t>
                            </w:r>
                          </w:p>
                          <w:p w14:paraId="5D20BF28" w14:textId="77777777" w:rsidR="00062D14" w:rsidRDefault="00062D14"/>
                          <w:p w14:paraId="4C524A5B" w14:textId="77777777" w:rsidR="00062D14" w:rsidRDefault="00062D14">
                            <w:r>
                              <w:t xml:space="preserve"> </w:t>
                            </w:r>
                          </w:p>
                          <w:p w14:paraId="0BFB6352" w14:textId="77777777" w:rsidR="00062D14" w:rsidRPr="00BB5965" w:rsidRDefault="00062D14">
                            <w:r>
                              <w:rPr>
                                <w:u w:val="single"/>
                              </w:rPr>
                              <w:t>Costs</w:t>
                            </w:r>
                          </w:p>
                          <w:p w14:paraId="461E0799" w14:textId="77777777" w:rsidR="00062D14" w:rsidRDefault="00062D14">
                            <w:pPr>
                              <w:rPr>
                                <w:u w:val="single"/>
                              </w:rPr>
                            </w:pPr>
                          </w:p>
                          <w:p w14:paraId="09164503" w14:textId="77777777" w:rsidR="00062D14" w:rsidRDefault="00062D14">
                            <w:pPr>
                              <w:rPr>
                                <w:b/>
                                <w:bCs/>
                              </w:rPr>
                            </w:pPr>
                            <w:r>
                              <w:rPr>
                                <w:b/>
                                <w:bCs/>
                              </w:rPr>
                              <w:t>Operating costs:</w:t>
                            </w:r>
                          </w:p>
                          <w:p w14:paraId="3662420E" w14:textId="77777777" w:rsidR="00062D14" w:rsidRDefault="00062D14">
                            <w:r>
                              <w:t>Operating costs, whilst historically volatile, we expect to settle in the long run at around 8% of revenue. There is little scope for a decrease in these costs as there is a relatively fixed cost associated with running each warehouse annually.</w:t>
                            </w:r>
                          </w:p>
                          <w:p w14:paraId="728CF53D" w14:textId="77777777" w:rsidR="00062D14" w:rsidRDefault="00062D14"/>
                          <w:p w14:paraId="24A9236B" w14:textId="77777777" w:rsidR="00062D14" w:rsidRDefault="00062D14">
                            <w:pPr>
                              <w:rPr>
                                <w:b/>
                                <w:bCs/>
                              </w:rPr>
                            </w:pPr>
                            <w:r>
                              <w:rPr>
                                <w:b/>
                                <w:bCs/>
                              </w:rPr>
                              <w:t>Administrative costs:</w:t>
                            </w:r>
                          </w:p>
                          <w:p w14:paraId="07C075E6" w14:textId="77777777" w:rsidR="00062D14" w:rsidRDefault="00062D14">
                            <w:r>
                              <w:t xml:space="preserve">Administrative cost, in nominal terms, have grown year on year to £1.8M in 2019. However, as a percentage of revenue, there has been a consistent annual fall in these costs. This supports our thesis that Urban Logistics is nearing its maximum administrative size and therefore, as the asset base expands, this cost will be spread across more £s of revenue. </w:t>
                            </w:r>
                          </w:p>
                          <w:p w14:paraId="7D77AA9A" w14:textId="77777777" w:rsidR="00062D14" w:rsidRPr="00F57C07" w:rsidRDefault="00062D14"/>
                          <w:p w14:paraId="72D8E308" w14:textId="77777777" w:rsidR="00062D14" w:rsidRDefault="00062D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D455A9" id="Text Box 77" o:spid="_x0000_s1039" type="#_x0000_t202" style="position:absolute;margin-left:5.25pt;margin-top:19.9pt;width:329.9pt;height:629.75pt;z-index:251708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" fillcolor="white [3201]" stroked="f" strokeweight=".5pt">
                <v:textbox>
                  <w:txbxContent>
                    <w:p w14:paraId="7C077D22" w14:textId="77777777" w:rsidR="00062D14" w:rsidRDefault="00062D14">
                      <w:pPr>
                        <w:rPr>
                          <w:u w:val="single"/>
                        </w:rPr>
                      </w:pPr>
                      <w:r>
                        <w:rPr>
                          <w:u w:val="single"/>
                        </w:rPr>
                        <w:t>Revenue</w:t>
                      </w:r>
                    </w:p>
                    <w:p w14:paraId="465889F2" w14:textId="77777777" w:rsidR="00062D14" w:rsidRDefault="00062D14">
                      <w:pPr>
                        <w:rPr>
                          <w:u w:val="single"/>
                        </w:rPr>
                      </w:pPr>
                    </w:p>
                    <w:p w14:paraId="4DB0E7D9" w14:textId="77777777" w:rsidR="00062D14" w:rsidRDefault="00062D14">
                      <w:r>
                        <w:t>Urban Logistics’ revenue has followed a healthy growth pattern, largely in line with its assets acquisitions. Revenue is overwhelmingly derived from warehouse rental income. This revenue is bond like in that it is tied to legally binding contracts with a weighted average unexpired lease term of 6.1 years (5.1 excl long leases). This term is in line with direct competitor Warehouse REIT (5.1 years), however is below the average of competitors with more diversified portfolios such as SEGRO (8.9 years) and London Metric (12.5 years). We believe that this is not a cause for concern as the WAULT is within the company’s target range, and strong demand conditions make it likely that at the end of contracts management will be able to secure rental uplifts.</w:t>
                      </w:r>
                    </w:p>
                    <w:p w14:paraId="16BB4EFE" w14:textId="77777777" w:rsidR="00062D14" w:rsidRDefault="00062D14"/>
                    <w:p w14:paraId="2AD233FA" w14:textId="77777777" w:rsidR="00062D14" w:rsidRDefault="00062D14">
                      <w:r>
                        <w:t>The tenant portfolio is sufficiently diversified, with a wide variety of tenants occupying the Urban Logistics’ warehouses. Companies with strong balance sheets, operating within non-cyclical industries have been selected by management as tenants. 89% of these tenants have been classed, by Dun &amp; Bradstreet, as low/moderate risk.</w:t>
                      </w:r>
                    </w:p>
                    <w:p w14:paraId="5D20BF28" w14:textId="77777777" w:rsidR="00062D14" w:rsidRDefault="00062D14"/>
                    <w:p w14:paraId="4C524A5B" w14:textId="77777777" w:rsidR="00062D14" w:rsidRDefault="00062D14">
                      <w:r>
                        <w:t xml:space="preserve"> </w:t>
                      </w:r>
                    </w:p>
                    <w:p w14:paraId="0BFB6352" w14:textId="77777777" w:rsidR="00062D14" w:rsidRPr="00BB5965" w:rsidRDefault="00062D14">
                      <w:r>
                        <w:rPr>
                          <w:u w:val="single"/>
                        </w:rPr>
                        <w:t>Costs</w:t>
                      </w:r>
                    </w:p>
                    <w:p w14:paraId="461E0799" w14:textId="77777777" w:rsidR="00062D14" w:rsidRDefault="00062D14">
                      <w:pPr>
                        <w:rPr>
                          <w:u w:val="single"/>
                        </w:rPr>
                      </w:pPr>
                    </w:p>
                    <w:p w14:paraId="09164503" w14:textId="77777777" w:rsidR="00062D14" w:rsidRDefault="00062D14">
                      <w:pPr>
                        <w:rPr>
                          <w:b/>
                          <w:bCs/>
                        </w:rPr>
                      </w:pPr>
                      <w:r>
                        <w:rPr>
                          <w:b/>
                          <w:bCs/>
                        </w:rPr>
                        <w:t>Operating costs:</w:t>
                      </w:r>
                    </w:p>
                    <w:p w14:paraId="3662420E" w14:textId="77777777" w:rsidR="00062D14" w:rsidRDefault="00062D14">
                      <w:r>
                        <w:t>Operating costs, whilst historically volatile, we expect to settle in the long run at around 8% of revenue. There is little scope for a decrease in these costs as there is a relatively fixed cost associated with running each warehouse annually.</w:t>
                      </w:r>
                    </w:p>
                    <w:p w14:paraId="728CF53D" w14:textId="77777777" w:rsidR="00062D14" w:rsidRDefault="00062D14"/>
                    <w:p w14:paraId="24A9236B" w14:textId="77777777" w:rsidR="00062D14" w:rsidRDefault="00062D14">
                      <w:pPr>
                        <w:rPr>
                          <w:b/>
                          <w:bCs/>
                        </w:rPr>
                      </w:pPr>
                      <w:r>
                        <w:rPr>
                          <w:b/>
                          <w:bCs/>
                        </w:rPr>
                        <w:t>Administrative costs:</w:t>
                      </w:r>
                    </w:p>
                    <w:p w14:paraId="07C075E6" w14:textId="77777777" w:rsidR="00062D14" w:rsidRDefault="00062D14">
                      <w:r>
                        <w:t xml:space="preserve">Administrative cost, in nominal terms, have grown year on year to £1.8M in 2019. However, as a percentage of revenue, there has been a consistent annual fall in these costs. This supports our thesis that Urban Logistics is nearing its maximum administrative size and therefore, as the asset base expands, this cost will be spread across more £s of revenue. </w:t>
                      </w:r>
                    </w:p>
                    <w:p w14:paraId="7D77AA9A" w14:textId="77777777" w:rsidR="00062D14" w:rsidRPr="00F57C07" w:rsidRDefault="00062D14"/>
                    <w:p w14:paraId="72D8E308" w14:textId="77777777" w:rsidR="00062D14" w:rsidRDefault="00062D14"/>
                  </w:txbxContent>
                </v:textbox>
              </v:shape>
            </w:pict>
          </mc:Fallback>
        </mc:AlternateContent>
      </w:r>
      <w:r>
        <w:rPr>
          <w:rFonts w:ascii="Calibri" w:eastAsia="Calibri" w:hAnsi="Calibri" w:cs="Calibri"/>
          <w:b/>
          <w:bCs/>
          <w:i/>
          <w:iCs/>
          <w:color w:val="44546A"/>
          <w:sz w:val="36"/>
          <w:szCs w:val="36"/>
        </w:rPr>
        <w:t>Financial</w:t>
      </w:r>
      <w:r>
        <w:rPr>
          <w:rFonts w:ascii="Calibri" w:eastAsia="Calibri" w:hAnsi="Calibri" w:cs="Calibri"/>
          <w:color w:val="44546A"/>
          <w:sz w:val="36"/>
          <w:szCs w:val="36"/>
        </w:rPr>
        <w:t xml:space="preserve"> </w:t>
      </w:r>
      <w:r>
        <w:rPr>
          <w:rFonts w:ascii="Calibri" w:eastAsia="Calibri" w:hAnsi="Calibri" w:cs="Calibri"/>
          <w:b/>
          <w:bCs/>
          <w:i/>
          <w:iCs/>
          <w:color w:val="44546A"/>
          <w:sz w:val="36"/>
          <w:szCs w:val="36"/>
        </w:rPr>
        <w:t>Analysis</w:t>
      </w:r>
    </w:p>
    <w:p w14:paraId="6B07D285" w14:textId="77777777" w:rsidR="003443BC" w:rsidRDefault="003443BC" w:rsidP="003443BC">
      <w:pPr>
        <w:spacing w:line="235" w:lineRule="auto"/>
        <w:ind w:right="5687"/>
        <w:rPr>
          <w:rFonts w:ascii="Calibri" w:eastAsia="Calibri" w:hAnsi="Calibri" w:cs="Calibri"/>
          <w:color w:val="000000"/>
          <w:sz w:val="22"/>
          <w:szCs w:val="22"/>
        </w:rPr>
      </w:pPr>
    </w:p>
    <w:p w14:paraId="2624329A" w14:textId="77777777" w:rsidR="003443BC" w:rsidRDefault="003443BC" w:rsidP="00F57C07">
      <w:pPr>
        <w:spacing w:line="235" w:lineRule="auto"/>
        <w:ind w:left="1467" w:right="5687"/>
        <w:rPr>
          <w:rFonts w:ascii="Calibri" w:eastAsia="Calibri" w:hAnsi="Calibri" w:cs="Calibri"/>
          <w:color w:val="000000"/>
          <w:sz w:val="22"/>
          <w:szCs w:val="22"/>
        </w:rPr>
      </w:pPr>
    </w:p>
    <w:p w14:paraId="55B60234" w14:textId="77777777" w:rsidR="003443BC" w:rsidRDefault="00BB5965" w:rsidP="00F57C07">
      <w:pPr>
        <w:spacing w:line="235" w:lineRule="auto"/>
        <w:ind w:left="1467" w:right="5687"/>
        <w:rPr>
          <w:rFonts w:ascii="Calibri" w:eastAsia="Calibri" w:hAnsi="Calibri" w:cs="Calibri"/>
          <w:color w:val="000000"/>
          <w:sz w:val="22"/>
          <w:szCs w:val="22"/>
        </w:rPr>
      </w:pPr>
      <w:r>
        <w:rPr>
          <w:rFonts w:ascii="Calibri" w:eastAsia="Calibri" w:hAnsi="Calibri" w:cs="Calibri"/>
          <w:noProof/>
          <w:color w:val="000000"/>
          <w:sz w:val="22"/>
          <w:szCs w:val="22"/>
        </w:rPr>
        <mc:AlternateContent>
          <mc:Choice Requires="wps">
            <w:drawing>
              <wp:anchor distT="0" distB="0" distL="114300" distR="114300" simplePos="0" relativeHeight="251734528" behindDoc="0" locked="0" layoutInCell="1" allowOverlap="1" wp14:anchorId="23FFDB20" wp14:editId="29861D3D">
                <wp:simplePos x="0" y="0"/>
                <wp:positionH relativeFrom="column">
                  <wp:posOffset>4232660</wp:posOffset>
                </wp:positionH>
                <wp:positionV relativeFrom="paragraph">
                  <wp:posOffset>33655</wp:posOffset>
                </wp:positionV>
                <wp:extent cx="2263775" cy="7268845"/>
                <wp:effectExtent l="0" t="0" r="0" b="0"/>
                <wp:wrapNone/>
                <wp:docPr id="102" name="Text Box 102"/>
                <wp:cNvGraphicFramePr/>
                <a:graphic xmlns:a="http://schemas.openxmlformats.org/drawingml/2006/main">
                  <a:graphicData uri="http://schemas.microsoft.com/office/word/2010/wordprocessingShape">
                    <wps:wsp>
                      <wps:cNvSpPr txBox="1"/>
                      <wps:spPr>
                        <a:xfrm>
                          <a:off x="0" y="0"/>
                          <a:ext cx="2263775" cy="7268845"/>
                        </a:xfrm>
                        <a:prstGeom prst="rect">
                          <a:avLst/>
                        </a:prstGeom>
                        <a:solidFill>
                          <a:schemeClr val="lt1"/>
                        </a:solidFill>
                        <a:ln w="6350">
                          <a:noFill/>
                        </a:ln>
                      </wps:spPr>
                      <wps:txbx>
                        <w:txbxContent>
                          <w:p w14:paraId="33DAC3DA" w14:textId="77777777" w:rsidR="00062D14" w:rsidRDefault="00062D14">
                            <w:r>
                              <w:rPr>
                                <w:noProof/>
                              </w:rPr>
                              <w:drawing>
                                <wp:inline distT="0" distB="0" distL="0" distR="0" wp14:anchorId="2C7EB245" wp14:editId="1389BCF0">
                                  <wp:extent cx="1969770" cy="2146300"/>
                                  <wp:effectExtent l="0" t="0" r="11430" b="12700"/>
                                  <wp:docPr id="67" name="Chart 67">
                                    <a:extLst xmlns:a="http://schemas.openxmlformats.org/drawingml/2006/main">
                                      <a:ext uri="{FF2B5EF4-FFF2-40B4-BE49-F238E27FC236}">
                                        <a16:creationId xmlns:a16="http://schemas.microsoft.com/office/drawing/2014/main" id="{F5FFBFD7-CD9B-CC42-B763-91E09BE5ABD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A9846FA" w14:textId="77777777" w:rsidR="00062D14" w:rsidRPr="004D4317" w:rsidRDefault="00062D14" w:rsidP="004D4317">
                            <w:pPr>
                              <w:jc w:val="center"/>
                              <w:rPr>
                                <w:sz w:val="22"/>
                                <w:szCs w:val="22"/>
                              </w:rPr>
                            </w:pPr>
                            <w:r>
                              <w:rPr>
                                <w:sz w:val="22"/>
                                <w:szCs w:val="22"/>
                              </w:rPr>
                              <w:t>Source: 2020 Interim Report</w:t>
                            </w:r>
                          </w:p>
                          <w:p w14:paraId="6EE7DB48" w14:textId="77777777" w:rsidR="00062D14" w:rsidRDefault="00062D14"/>
                          <w:p w14:paraId="4FD439AA" w14:textId="77777777" w:rsidR="00062D14" w:rsidRDefault="00062D14"/>
                          <w:p w14:paraId="1BB506CD" w14:textId="77777777" w:rsidR="00062D14" w:rsidRDefault="00062D14"/>
                          <w:p w14:paraId="0AD2AA5C" w14:textId="77777777" w:rsidR="00062D14" w:rsidRDefault="00062D14"/>
                          <w:p w14:paraId="4EDE54A0" w14:textId="77777777" w:rsidR="00062D14" w:rsidRDefault="00062D14"/>
                          <w:p w14:paraId="426169B9" w14:textId="77777777" w:rsidR="00062D14" w:rsidRDefault="00062D14"/>
                          <w:p w14:paraId="2E21B1C1" w14:textId="77777777" w:rsidR="00062D14" w:rsidRDefault="00062D14"/>
                          <w:p w14:paraId="5DAD00E5" w14:textId="77777777" w:rsidR="00062D14" w:rsidRDefault="00062D14"/>
                          <w:p w14:paraId="51082B7B" w14:textId="77777777" w:rsidR="00062D14" w:rsidRDefault="00062D14"/>
                          <w:p w14:paraId="4178E2CD" w14:textId="77777777" w:rsidR="00062D14" w:rsidRDefault="00062D14">
                            <w:r>
                              <w:rPr>
                                <w:noProof/>
                              </w:rPr>
                              <w:drawing>
                                <wp:inline distT="0" distB="0" distL="0" distR="0" wp14:anchorId="2621FBAF" wp14:editId="00C140C5">
                                  <wp:extent cx="2036003" cy="2383790"/>
                                  <wp:effectExtent l="0" t="0" r="8890" b="16510"/>
                                  <wp:docPr id="68" name="Chart 68">
                                    <a:extLst xmlns:a="http://schemas.openxmlformats.org/drawingml/2006/main">
                                      <a:ext uri="{FF2B5EF4-FFF2-40B4-BE49-F238E27FC236}">
                                        <a16:creationId xmlns:a16="http://schemas.microsoft.com/office/drawing/2014/main" id="{9FBDAFC6-2EED-9145-862A-708374147D4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5A1B980" w14:textId="77777777" w:rsidR="00062D14" w:rsidRPr="004D4317" w:rsidRDefault="00062D14" w:rsidP="004D4317">
                            <w:pPr>
                              <w:jc w:val="center"/>
                              <w:rPr>
                                <w:sz w:val="22"/>
                                <w:szCs w:val="22"/>
                              </w:rPr>
                            </w:pPr>
                            <w:r>
                              <w:rPr>
                                <w:sz w:val="22"/>
                                <w:szCs w:val="22"/>
                              </w:rPr>
                              <w:t>Source: 2017-2020 Annual Reports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FFDB20" id="Text Box 102" o:spid="_x0000_s1040" type="#_x0000_t202" style="position:absolute;left:0;text-align:left;margin-left:333.3pt;margin-top:2.65pt;width:178.25pt;height:572.3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" fillcolor="white [3201]" stroked="f" strokeweight=".5pt">
                <v:textbox>
                  <w:txbxContent>
                    <w:p w14:paraId="33DAC3DA" w14:textId="77777777" w:rsidR="00062D14" w:rsidRDefault="00062D14">
                      <w:r>
                        <w:rPr>
                          <w:noProof/>
                        </w:rPr>
                        <w:drawing>
                          <wp:inline distT="0" distB="0" distL="0" distR="0" wp14:anchorId="2C7EB245" wp14:editId="1389BCF0">
                            <wp:extent cx="1969770" cy="2146300"/>
                            <wp:effectExtent l="0" t="0" r="11430" b="12700"/>
                            <wp:docPr id="67" name="Chart 67">
                              <a:extLst xmlns:a="http://schemas.openxmlformats.org/drawingml/2006/main">
                                <a:ext uri="{FF2B5EF4-FFF2-40B4-BE49-F238E27FC236}">
                                  <a16:creationId xmlns:a16="http://schemas.microsoft.com/office/drawing/2014/main" id="{F5FFBFD7-CD9B-CC42-B763-91E09BE5ABD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A9846FA" w14:textId="77777777" w:rsidR="00062D14" w:rsidRPr="004D4317" w:rsidRDefault="00062D14" w:rsidP="004D4317">
                      <w:pPr>
                        <w:jc w:val="center"/>
                        <w:rPr>
                          <w:sz w:val="22"/>
                          <w:szCs w:val="22"/>
                        </w:rPr>
                      </w:pPr>
                      <w:r>
                        <w:rPr>
                          <w:sz w:val="22"/>
                          <w:szCs w:val="22"/>
                        </w:rPr>
                        <w:t>Source: 2020 Interim Report</w:t>
                      </w:r>
                    </w:p>
                    <w:p w14:paraId="6EE7DB48" w14:textId="77777777" w:rsidR="00062D14" w:rsidRDefault="00062D14"/>
                    <w:p w14:paraId="4FD439AA" w14:textId="77777777" w:rsidR="00062D14" w:rsidRDefault="00062D14"/>
                    <w:p w14:paraId="1BB506CD" w14:textId="77777777" w:rsidR="00062D14" w:rsidRDefault="00062D14"/>
                    <w:p w14:paraId="0AD2AA5C" w14:textId="77777777" w:rsidR="00062D14" w:rsidRDefault="00062D14"/>
                    <w:p w14:paraId="4EDE54A0" w14:textId="77777777" w:rsidR="00062D14" w:rsidRDefault="00062D14"/>
                    <w:p w14:paraId="426169B9" w14:textId="77777777" w:rsidR="00062D14" w:rsidRDefault="00062D14"/>
                    <w:p w14:paraId="2E21B1C1" w14:textId="77777777" w:rsidR="00062D14" w:rsidRDefault="00062D14"/>
                    <w:p w14:paraId="5DAD00E5" w14:textId="77777777" w:rsidR="00062D14" w:rsidRDefault="00062D14"/>
                    <w:p w14:paraId="51082B7B" w14:textId="77777777" w:rsidR="00062D14" w:rsidRDefault="00062D14"/>
                    <w:p w14:paraId="4178E2CD" w14:textId="77777777" w:rsidR="00062D14" w:rsidRDefault="00062D14">
                      <w:r>
                        <w:rPr>
                          <w:noProof/>
                        </w:rPr>
                        <w:drawing>
                          <wp:inline distT="0" distB="0" distL="0" distR="0" wp14:anchorId="2621FBAF" wp14:editId="00C140C5">
                            <wp:extent cx="2036003" cy="2383790"/>
                            <wp:effectExtent l="0" t="0" r="8890" b="16510"/>
                            <wp:docPr id="68" name="Chart 68">
                              <a:extLst xmlns:a="http://schemas.openxmlformats.org/drawingml/2006/main">
                                <a:ext uri="{FF2B5EF4-FFF2-40B4-BE49-F238E27FC236}">
                                  <a16:creationId xmlns:a16="http://schemas.microsoft.com/office/drawing/2014/main" id="{9FBDAFC6-2EED-9145-862A-708374147D4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5A1B980" w14:textId="77777777" w:rsidR="00062D14" w:rsidRPr="004D4317" w:rsidRDefault="00062D14" w:rsidP="004D4317">
                      <w:pPr>
                        <w:jc w:val="center"/>
                        <w:rPr>
                          <w:sz w:val="22"/>
                          <w:szCs w:val="22"/>
                        </w:rPr>
                      </w:pPr>
                      <w:r>
                        <w:rPr>
                          <w:sz w:val="22"/>
                          <w:szCs w:val="22"/>
                        </w:rPr>
                        <w:t>Source: 2017-2020 Annual Reports</w:t>
                      </w:r>
                    </w:p>
                  </w:txbxContent>
                </v:textbox>
              </v:shape>
            </w:pict>
          </mc:Fallback>
        </mc:AlternateContent>
      </w:r>
      <w:r w:rsidR="004D4317">
        <w:rPr>
          <w:noProof/>
        </w:rPr>
        <mc:AlternateContent>
          <mc:Choice Requires="wps">
            <w:drawing>
              <wp:anchor distT="0" distB="0" distL="114300" distR="114300" simplePos="0" relativeHeight="251750912" behindDoc="0" locked="0" layoutInCell="1" allowOverlap="1" wp14:anchorId="191C72FF" wp14:editId="73745F33">
                <wp:simplePos x="0" y="0"/>
                <wp:positionH relativeFrom="column">
                  <wp:posOffset>4253480</wp:posOffset>
                </wp:positionH>
                <wp:positionV relativeFrom="paragraph">
                  <wp:posOffset>49207</wp:posOffset>
                </wp:positionV>
                <wp:extent cx="0" cy="8409482"/>
                <wp:effectExtent l="0" t="0" r="12700" b="10795"/>
                <wp:wrapNone/>
                <wp:docPr id="30" name="Straight Connector 30"/>
                <wp:cNvGraphicFramePr/>
                <a:graphic xmlns:a="http://schemas.openxmlformats.org/drawingml/2006/main">
                  <a:graphicData uri="http://schemas.microsoft.com/office/word/2010/wordprocessingShape">
                    <wps:wsp>
                      <wps:cNvCnPr/>
                      <wps:spPr>
                        <a:xfrm flipH="1">
                          <a:off x="0" y="0"/>
                          <a:ext cx="0" cy="8409482"/>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5AF006" id="Straight Connector 30" o:spid="_x0000_s1026" style="position:absolute;flip:x;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4.9pt,3.85pt" to="334.9pt,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" strokecolor="#002060" strokeweight=".5pt">
                <v:stroke joinstyle="miter"/>
              </v:line>
            </w:pict>
          </mc:Fallback>
        </mc:AlternateContent>
      </w:r>
    </w:p>
    <w:p w14:paraId="427F70F0" w14:textId="77777777" w:rsidR="003443BC" w:rsidRDefault="003443BC" w:rsidP="00F57C07">
      <w:pPr>
        <w:spacing w:line="235" w:lineRule="auto"/>
        <w:ind w:left="1467" w:right="5687"/>
        <w:rPr>
          <w:rFonts w:ascii="Calibri" w:eastAsia="Calibri" w:hAnsi="Calibri" w:cs="Calibri"/>
          <w:color w:val="000000"/>
          <w:sz w:val="22"/>
          <w:szCs w:val="22"/>
        </w:rPr>
      </w:pPr>
    </w:p>
    <w:p w14:paraId="2E1C7E2E" w14:textId="77777777" w:rsidR="003443BC" w:rsidRDefault="003443BC" w:rsidP="00F57C07">
      <w:pPr>
        <w:spacing w:line="235" w:lineRule="auto"/>
        <w:ind w:left="1467" w:right="5687"/>
        <w:rPr>
          <w:rFonts w:ascii="Calibri" w:eastAsia="Calibri" w:hAnsi="Calibri" w:cs="Calibri"/>
          <w:color w:val="000000"/>
          <w:sz w:val="22"/>
          <w:szCs w:val="22"/>
        </w:rPr>
      </w:pPr>
    </w:p>
    <w:p w14:paraId="16218022" w14:textId="77777777" w:rsidR="003443BC" w:rsidRDefault="003443BC" w:rsidP="00F57C07">
      <w:pPr>
        <w:spacing w:line="235" w:lineRule="auto"/>
        <w:ind w:left="1467" w:right="5687"/>
        <w:rPr>
          <w:rFonts w:ascii="Calibri" w:eastAsia="Calibri" w:hAnsi="Calibri" w:cs="Calibri"/>
          <w:color w:val="000000"/>
          <w:sz w:val="22"/>
          <w:szCs w:val="22"/>
        </w:rPr>
      </w:pPr>
    </w:p>
    <w:p w14:paraId="1E3D4E87" w14:textId="77777777" w:rsidR="003443BC" w:rsidRDefault="003443BC" w:rsidP="00F57C07">
      <w:pPr>
        <w:spacing w:line="235" w:lineRule="auto"/>
        <w:ind w:left="1467" w:right="5687"/>
        <w:rPr>
          <w:rFonts w:ascii="Calibri" w:eastAsia="Calibri" w:hAnsi="Calibri" w:cs="Calibri"/>
          <w:color w:val="000000"/>
          <w:sz w:val="22"/>
          <w:szCs w:val="22"/>
        </w:rPr>
      </w:pPr>
    </w:p>
    <w:p w14:paraId="30FA5108" w14:textId="77777777" w:rsidR="003443BC" w:rsidRDefault="003443BC" w:rsidP="00F57C07">
      <w:pPr>
        <w:spacing w:line="235" w:lineRule="auto"/>
        <w:ind w:left="1467" w:right="5687"/>
        <w:rPr>
          <w:rFonts w:ascii="Calibri" w:eastAsia="Calibri" w:hAnsi="Calibri" w:cs="Calibri"/>
          <w:color w:val="000000"/>
          <w:sz w:val="22"/>
          <w:szCs w:val="22"/>
        </w:rPr>
      </w:pPr>
    </w:p>
    <w:p w14:paraId="0E037E65" w14:textId="77777777" w:rsidR="003443BC" w:rsidRDefault="003443BC" w:rsidP="00F57C07">
      <w:pPr>
        <w:spacing w:line="235" w:lineRule="auto"/>
        <w:ind w:left="1467" w:right="5687"/>
        <w:rPr>
          <w:rFonts w:ascii="Calibri" w:eastAsia="Calibri" w:hAnsi="Calibri" w:cs="Calibri"/>
          <w:color w:val="000000"/>
          <w:sz w:val="22"/>
          <w:szCs w:val="22"/>
        </w:rPr>
      </w:pPr>
    </w:p>
    <w:p w14:paraId="37149E0B" w14:textId="77777777" w:rsidR="003443BC" w:rsidRDefault="003443BC" w:rsidP="00F57C07">
      <w:pPr>
        <w:spacing w:line="235" w:lineRule="auto"/>
        <w:ind w:left="1467" w:right="5687"/>
        <w:rPr>
          <w:rFonts w:ascii="Calibri" w:eastAsia="Calibri" w:hAnsi="Calibri" w:cs="Calibri"/>
          <w:color w:val="000000"/>
          <w:sz w:val="22"/>
          <w:szCs w:val="22"/>
        </w:rPr>
      </w:pPr>
    </w:p>
    <w:p w14:paraId="2CFFCC10" w14:textId="77777777" w:rsidR="003443BC" w:rsidRDefault="003443BC" w:rsidP="00F57C07">
      <w:pPr>
        <w:spacing w:line="235" w:lineRule="auto"/>
        <w:ind w:left="1467" w:right="5687"/>
        <w:rPr>
          <w:rFonts w:ascii="Calibri" w:eastAsia="Calibri" w:hAnsi="Calibri" w:cs="Calibri"/>
          <w:color w:val="000000"/>
          <w:sz w:val="22"/>
          <w:szCs w:val="22"/>
        </w:rPr>
      </w:pPr>
    </w:p>
    <w:p w14:paraId="6C4440E6" w14:textId="77777777" w:rsidR="003443BC" w:rsidRDefault="003443BC" w:rsidP="00F57C07">
      <w:pPr>
        <w:spacing w:line="235" w:lineRule="auto"/>
        <w:ind w:left="1467" w:right="5687"/>
        <w:rPr>
          <w:rFonts w:ascii="Calibri" w:eastAsia="Calibri" w:hAnsi="Calibri" w:cs="Calibri"/>
          <w:color w:val="000000"/>
          <w:sz w:val="22"/>
          <w:szCs w:val="22"/>
        </w:rPr>
      </w:pPr>
    </w:p>
    <w:p w14:paraId="117AB583" w14:textId="77777777" w:rsidR="003443BC" w:rsidRDefault="003443BC" w:rsidP="00F57C07">
      <w:pPr>
        <w:spacing w:line="235" w:lineRule="auto"/>
        <w:ind w:left="1467" w:right="5687"/>
        <w:rPr>
          <w:rFonts w:ascii="Calibri" w:eastAsia="Calibri" w:hAnsi="Calibri" w:cs="Calibri"/>
          <w:color w:val="000000"/>
          <w:sz w:val="22"/>
          <w:szCs w:val="22"/>
        </w:rPr>
      </w:pPr>
    </w:p>
    <w:p w14:paraId="2B92231B" w14:textId="77777777" w:rsidR="003443BC" w:rsidRDefault="003443BC" w:rsidP="00F57C07">
      <w:pPr>
        <w:spacing w:line="235" w:lineRule="auto"/>
        <w:ind w:left="1467" w:right="5687"/>
        <w:rPr>
          <w:rFonts w:ascii="Calibri" w:eastAsia="Calibri" w:hAnsi="Calibri" w:cs="Calibri"/>
          <w:color w:val="000000"/>
          <w:sz w:val="22"/>
          <w:szCs w:val="22"/>
        </w:rPr>
      </w:pPr>
    </w:p>
    <w:p w14:paraId="20598559" w14:textId="77777777" w:rsidR="003443BC" w:rsidRDefault="003443BC" w:rsidP="00F57C07">
      <w:pPr>
        <w:spacing w:line="235" w:lineRule="auto"/>
        <w:ind w:left="1467" w:right="5687"/>
        <w:rPr>
          <w:rFonts w:ascii="Calibri" w:eastAsia="Calibri" w:hAnsi="Calibri" w:cs="Calibri"/>
          <w:color w:val="000000"/>
          <w:sz w:val="22"/>
          <w:szCs w:val="22"/>
        </w:rPr>
      </w:pPr>
    </w:p>
    <w:p w14:paraId="255D6633" w14:textId="77777777" w:rsidR="003443BC" w:rsidRDefault="003443BC" w:rsidP="00F57C07">
      <w:pPr>
        <w:spacing w:line="235" w:lineRule="auto"/>
        <w:ind w:left="1467" w:right="5687"/>
        <w:rPr>
          <w:rFonts w:ascii="Calibri" w:eastAsia="Calibri" w:hAnsi="Calibri" w:cs="Calibri"/>
          <w:color w:val="000000"/>
          <w:sz w:val="22"/>
          <w:szCs w:val="22"/>
        </w:rPr>
      </w:pPr>
    </w:p>
    <w:p w14:paraId="0B267538" w14:textId="77777777" w:rsidR="003443BC" w:rsidRDefault="003443BC" w:rsidP="00F57C07">
      <w:pPr>
        <w:spacing w:line="235" w:lineRule="auto"/>
        <w:ind w:left="1467" w:right="5687"/>
        <w:rPr>
          <w:rFonts w:ascii="Calibri" w:eastAsia="Calibri" w:hAnsi="Calibri" w:cs="Calibri"/>
          <w:color w:val="000000"/>
          <w:sz w:val="22"/>
          <w:szCs w:val="22"/>
        </w:rPr>
      </w:pPr>
    </w:p>
    <w:p w14:paraId="5D6B8BC8" w14:textId="77777777" w:rsidR="003443BC" w:rsidRDefault="003443BC" w:rsidP="00F57C07">
      <w:pPr>
        <w:spacing w:line="235" w:lineRule="auto"/>
        <w:ind w:left="1467" w:right="5687"/>
        <w:rPr>
          <w:rFonts w:ascii="Calibri" w:eastAsia="Calibri" w:hAnsi="Calibri" w:cs="Calibri"/>
          <w:color w:val="000000"/>
          <w:sz w:val="22"/>
          <w:szCs w:val="22"/>
        </w:rPr>
      </w:pPr>
    </w:p>
    <w:p w14:paraId="01DE5878" w14:textId="77777777" w:rsidR="003443BC" w:rsidRDefault="003443BC" w:rsidP="00F57C07">
      <w:pPr>
        <w:spacing w:line="235" w:lineRule="auto"/>
        <w:ind w:left="1467" w:right="5687"/>
        <w:rPr>
          <w:rFonts w:ascii="Calibri" w:eastAsia="Calibri" w:hAnsi="Calibri" w:cs="Calibri"/>
          <w:color w:val="000000"/>
          <w:sz w:val="22"/>
          <w:szCs w:val="22"/>
        </w:rPr>
      </w:pPr>
    </w:p>
    <w:p w14:paraId="49F49AC8" w14:textId="77777777" w:rsidR="003443BC" w:rsidRDefault="003443BC" w:rsidP="00F57C07">
      <w:pPr>
        <w:spacing w:line="235" w:lineRule="auto"/>
        <w:ind w:left="1467" w:right="5687"/>
        <w:rPr>
          <w:rFonts w:ascii="Calibri" w:eastAsia="Calibri" w:hAnsi="Calibri" w:cs="Calibri"/>
          <w:color w:val="000000"/>
          <w:sz w:val="22"/>
          <w:szCs w:val="22"/>
        </w:rPr>
      </w:pPr>
    </w:p>
    <w:p w14:paraId="47E2C46C" w14:textId="77777777" w:rsidR="003443BC" w:rsidRDefault="003443BC" w:rsidP="00F57C07">
      <w:pPr>
        <w:spacing w:line="235" w:lineRule="auto"/>
        <w:ind w:left="1467" w:right="5687"/>
        <w:rPr>
          <w:rFonts w:ascii="Calibri" w:eastAsia="Calibri" w:hAnsi="Calibri" w:cs="Calibri"/>
          <w:color w:val="000000"/>
          <w:sz w:val="22"/>
          <w:szCs w:val="22"/>
        </w:rPr>
      </w:pPr>
    </w:p>
    <w:p w14:paraId="619644F0" w14:textId="77777777" w:rsidR="003443BC" w:rsidRDefault="003443BC" w:rsidP="00F57C07">
      <w:pPr>
        <w:spacing w:line="235" w:lineRule="auto"/>
        <w:ind w:left="1467" w:right="5687"/>
        <w:rPr>
          <w:rFonts w:ascii="Calibri" w:eastAsia="Calibri" w:hAnsi="Calibri" w:cs="Calibri"/>
          <w:color w:val="000000"/>
          <w:sz w:val="22"/>
          <w:szCs w:val="22"/>
        </w:rPr>
      </w:pPr>
    </w:p>
    <w:p w14:paraId="5CDFA5FE" w14:textId="77777777" w:rsidR="003443BC" w:rsidRDefault="003443BC" w:rsidP="00F57C07">
      <w:pPr>
        <w:spacing w:line="235" w:lineRule="auto"/>
        <w:ind w:left="1467" w:right="5687"/>
        <w:rPr>
          <w:rFonts w:ascii="Calibri" w:eastAsia="Calibri" w:hAnsi="Calibri" w:cs="Calibri"/>
          <w:color w:val="000000"/>
          <w:sz w:val="22"/>
          <w:szCs w:val="22"/>
        </w:rPr>
      </w:pPr>
    </w:p>
    <w:p w14:paraId="0AEFF651" w14:textId="77777777" w:rsidR="003443BC" w:rsidRDefault="003443BC" w:rsidP="00F57C07">
      <w:pPr>
        <w:spacing w:line="235" w:lineRule="auto"/>
        <w:ind w:left="1467" w:right="5687"/>
        <w:rPr>
          <w:rFonts w:ascii="Calibri" w:eastAsia="Calibri" w:hAnsi="Calibri" w:cs="Calibri"/>
          <w:color w:val="000000"/>
          <w:sz w:val="22"/>
          <w:szCs w:val="22"/>
        </w:rPr>
      </w:pPr>
    </w:p>
    <w:p w14:paraId="32C92A43" w14:textId="77777777" w:rsidR="003443BC" w:rsidRDefault="003443BC" w:rsidP="00F57C07">
      <w:pPr>
        <w:spacing w:line="235" w:lineRule="auto"/>
        <w:ind w:left="1467" w:right="5687"/>
        <w:rPr>
          <w:rFonts w:ascii="Calibri" w:eastAsia="Calibri" w:hAnsi="Calibri" w:cs="Calibri"/>
          <w:color w:val="000000"/>
          <w:sz w:val="22"/>
          <w:szCs w:val="22"/>
        </w:rPr>
      </w:pPr>
    </w:p>
    <w:p w14:paraId="6A6725F4" w14:textId="77777777" w:rsidR="003443BC" w:rsidRDefault="003443BC" w:rsidP="00F57C07">
      <w:pPr>
        <w:spacing w:line="235" w:lineRule="auto"/>
        <w:ind w:left="1467" w:right="5687"/>
        <w:rPr>
          <w:rFonts w:ascii="Calibri" w:eastAsia="Calibri" w:hAnsi="Calibri" w:cs="Calibri"/>
          <w:color w:val="000000"/>
          <w:sz w:val="22"/>
          <w:szCs w:val="22"/>
        </w:rPr>
      </w:pPr>
    </w:p>
    <w:p w14:paraId="1227E4C6" w14:textId="77777777" w:rsidR="003443BC" w:rsidRDefault="003443BC" w:rsidP="00F57C07">
      <w:pPr>
        <w:spacing w:line="235" w:lineRule="auto"/>
        <w:ind w:left="1467" w:right="5687"/>
        <w:rPr>
          <w:rFonts w:ascii="Calibri" w:eastAsia="Calibri" w:hAnsi="Calibri" w:cs="Calibri"/>
          <w:color w:val="000000"/>
          <w:sz w:val="22"/>
          <w:szCs w:val="22"/>
        </w:rPr>
      </w:pPr>
    </w:p>
    <w:p w14:paraId="1F803F52" w14:textId="77777777" w:rsidR="003443BC" w:rsidRDefault="003443BC" w:rsidP="00F57C07">
      <w:pPr>
        <w:spacing w:line="235" w:lineRule="auto"/>
        <w:ind w:left="1467" w:right="5687"/>
        <w:rPr>
          <w:rFonts w:ascii="Calibri" w:eastAsia="Calibri" w:hAnsi="Calibri" w:cs="Calibri"/>
          <w:color w:val="000000"/>
          <w:sz w:val="22"/>
          <w:szCs w:val="22"/>
        </w:rPr>
      </w:pPr>
    </w:p>
    <w:p w14:paraId="1609F9E5" w14:textId="77777777" w:rsidR="003443BC" w:rsidRDefault="003443BC" w:rsidP="00F57C07">
      <w:pPr>
        <w:spacing w:line="235" w:lineRule="auto"/>
        <w:ind w:left="1467" w:right="5687"/>
        <w:rPr>
          <w:rFonts w:ascii="Calibri" w:eastAsia="Calibri" w:hAnsi="Calibri" w:cs="Calibri"/>
          <w:color w:val="000000"/>
          <w:sz w:val="22"/>
          <w:szCs w:val="22"/>
        </w:rPr>
      </w:pPr>
    </w:p>
    <w:p w14:paraId="17C47626" w14:textId="77777777" w:rsidR="003443BC" w:rsidRDefault="003443BC" w:rsidP="00F57C07">
      <w:pPr>
        <w:spacing w:line="235" w:lineRule="auto"/>
        <w:ind w:left="1467" w:right="5687"/>
        <w:rPr>
          <w:rFonts w:ascii="Calibri" w:eastAsia="Calibri" w:hAnsi="Calibri" w:cs="Calibri"/>
          <w:color w:val="000000"/>
          <w:sz w:val="22"/>
          <w:szCs w:val="22"/>
        </w:rPr>
      </w:pPr>
    </w:p>
    <w:p w14:paraId="66F54CDF" w14:textId="77777777" w:rsidR="003443BC" w:rsidRDefault="003443BC" w:rsidP="00F57C07">
      <w:pPr>
        <w:spacing w:line="235" w:lineRule="auto"/>
        <w:ind w:left="1467" w:right="5687"/>
        <w:rPr>
          <w:rFonts w:ascii="Calibri" w:eastAsia="Calibri" w:hAnsi="Calibri" w:cs="Calibri"/>
          <w:color w:val="000000"/>
          <w:sz w:val="22"/>
          <w:szCs w:val="22"/>
        </w:rPr>
      </w:pPr>
    </w:p>
    <w:p w14:paraId="6B92E246" w14:textId="77777777" w:rsidR="003443BC" w:rsidRDefault="003443BC" w:rsidP="00F57C07">
      <w:pPr>
        <w:spacing w:line="235" w:lineRule="auto"/>
        <w:ind w:left="1467" w:right="5687"/>
        <w:rPr>
          <w:rFonts w:ascii="Calibri" w:eastAsia="Calibri" w:hAnsi="Calibri" w:cs="Calibri"/>
          <w:color w:val="000000"/>
          <w:sz w:val="22"/>
          <w:szCs w:val="22"/>
        </w:rPr>
      </w:pPr>
    </w:p>
    <w:p w14:paraId="7CFF7A68" w14:textId="77777777" w:rsidR="003443BC" w:rsidRDefault="003443BC" w:rsidP="00F57C07">
      <w:pPr>
        <w:spacing w:line="235" w:lineRule="auto"/>
        <w:ind w:left="1467" w:right="5687"/>
        <w:rPr>
          <w:rFonts w:ascii="Calibri" w:eastAsia="Calibri" w:hAnsi="Calibri" w:cs="Calibri"/>
          <w:color w:val="000000"/>
          <w:sz w:val="22"/>
          <w:szCs w:val="22"/>
        </w:rPr>
      </w:pPr>
    </w:p>
    <w:p w14:paraId="7007E608" w14:textId="77777777" w:rsidR="003443BC" w:rsidRDefault="003443BC" w:rsidP="00F57C07">
      <w:pPr>
        <w:spacing w:line="235" w:lineRule="auto"/>
        <w:ind w:left="1467" w:right="5687"/>
        <w:rPr>
          <w:rFonts w:ascii="Calibri" w:eastAsia="Calibri" w:hAnsi="Calibri" w:cs="Calibri"/>
          <w:color w:val="000000"/>
          <w:sz w:val="22"/>
          <w:szCs w:val="22"/>
        </w:rPr>
      </w:pPr>
    </w:p>
    <w:p w14:paraId="7A10C3A7" w14:textId="77777777" w:rsidR="003443BC" w:rsidRDefault="003443BC" w:rsidP="00F57C07">
      <w:pPr>
        <w:spacing w:line="235" w:lineRule="auto"/>
        <w:ind w:left="1467" w:right="5687"/>
        <w:rPr>
          <w:rFonts w:ascii="Calibri" w:eastAsia="Calibri" w:hAnsi="Calibri" w:cs="Calibri"/>
          <w:color w:val="000000"/>
          <w:sz w:val="22"/>
          <w:szCs w:val="22"/>
        </w:rPr>
      </w:pPr>
    </w:p>
    <w:p w14:paraId="702EDC85" w14:textId="77777777" w:rsidR="003443BC" w:rsidRDefault="003443BC" w:rsidP="00F57C07">
      <w:pPr>
        <w:spacing w:line="235" w:lineRule="auto"/>
        <w:ind w:left="1467" w:right="5687"/>
        <w:rPr>
          <w:rFonts w:ascii="Calibri" w:eastAsia="Calibri" w:hAnsi="Calibri" w:cs="Calibri"/>
          <w:color w:val="000000"/>
          <w:sz w:val="22"/>
          <w:szCs w:val="22"/>
        </w:rPr>
      </w:pPr>
    </w:p>
    <w:p w14:paraId="50CEC816" w14:textId="77777777" w:rsidR="003443BC" w:rsidRDefault="003443BC" w:rsidP="00F57C07">
      <w:pPr>
        <w:spacing w:line="235" w:lineRule="auto"/>
        <w:ind w:left="1467" w:right="5687"/>
        <w:rPr>
          <w:rFonts w:ascii="Calibri" w:eastAsia="Calibri" w:hAnsi="Calibri" w:cs="Calibri"/>
          <w:color w:val="000000"/>
          <w:sz w:val="22"/>
          <w:szCs w:val="22"/>
        </w:rPr>
      </w:pPr>
    </w:p>
    <w:p w14:paraId="27DED1E1" w14:textId="77777777" w:rsidR="00571FF1" w:rsidRDefault="00571FF1" w:rsidP="00571FF1">
      <w:pPr>
        <w:spacing w:line="235" w:lineRule="auto"/>
        <w:ind w:right="5687"/>
        <w:rPr>
          <w:rFonts w:ascii="Calibri" w:eastAsia="Calibri" w:hAnsi="Calibri" w:cs="Calibri"/>
          <w:color w:val="000000"/>
          <w:sz w:val="22"/>
          <w:szCs w:val="22"/>
        </w:rPr>
      </w:pPr>
    </w:p>
    <w:p w14:paraId="2A266F12" w14:textId="77777777" w:rsidR="00571FF1" w:rsidRDefault="00571FF1" w:rsidP="00571FF1">
      <w:pPr>
        <w:spacing w:line="235" w:lineRule="auto"/>
        <w:ind w:right="5687"/>
        <w:rPr>
          <w:rFonts w:ascii="Calibri" w:eastAsia="Calibri" w:hAnsi="Calibri" w:cs="Calibri"/>
          <w:color w:val="000000"/>
          <w:sz w:val="22"/>
          <w:szCs w:val="22"/>
        </w:rPr>
      </w:pPr>
    </w:p>
    <w:p w14:paraId="1F7FC036" w14:textId="77777777" w:rsidR="00571FF1" w:rsidRDefault="00571FF1" w:rsidP="00571FF1">
      <w:pPr>
        <w:spacing w:line="235" w:lineRule="auto"/>
        <w:ind w:right="5687"/>
        <w:rPr>
          <w:rFonts w:ascii="Calibri" w:eastAsia="Calibri" w:hAnsi="Calibri" w:cs="Calibri"/>
          <w:color w:val="000000"/>
          <w:sz w:val="22"/>
          <w:szCs w:val="22"/>
        </w:rPr>
      </w:pPr>
    </w:p>
    <w:p w14:paraId="02FD93B7" w14:textId="77777777" w:rsidR="00571FF1" w:rsidRDefault="00571FF1" w:rsidP="00571FF1">
      <w:pPr>
        <w:spacing w:line="235" w:lineRule="auto"/>
        <w:ind w:right="5687"/>
        <w:rPr>
          <w:rFonts w:ascii="Calibri" w:eastAsia="Calibri" w:hAnsi="Calibri" w:cs="Calibri"/>
          <w:color w:val="000000"/>
          <w:sz w:val="22"/>
          <w:szCs w:val="22"/>
        </w:rPr>
      </w:pPr>
    </w:p>
    <w:p w14:paraId="55187A84" w14:textId="77777777" w:rsidR="00571FF1" w:rsidRDefault="00571FF1" w:rsidP="00571FF1">
      <w:pPr>
        <w:spacing w:line="235" w:lineRule="auto"/>
        <w:ind w:right="5687"/>
        <w:rPr>
          <w:rFonts w:ascii="Calibri" w:eastAsia="Calibri" w:hAnsi="Calibri" w:cs="Calibri"/>
          <w:color w:val="000000"/>
          <w:sz w:val="22"/>
          <w:szCs w:val="22"/>
        </w:rPr>
      </w:pPr>
    </w:p>
    <w:p w14:paraId="27210C26" w14:textId="77777777" w:rsidR="00571FF1" w:rsidRDefault="00571FF1" w:rsidP="00571FF1">
      <w:pPr>
        <w:spacing w:line="235" w:lineRule="auto"/>
        <w:ind w:right="5687"/>
        <w:rPr>
          <w:rFonts w:ascii="Calibri" w:eastAsia="Calibri" w:hAnsi="Calibri" w:cs="Calibri"/>
          <w:color w:val="000000"/>
          <w:sz w:val="22"/>
          <w:szCs w:val="22"/>
        </w:rPr>
      </w:pPr>
    </w:p>
    <w:p w14:paraId="39DBD164" w14:textId="77777777" w:rsidR="00571FF1" w:rsidRDefault="00571FF1" w:rsidP="00571FF1">
      <w:pPr>
        <w:spacing w:line="235" w:lineRule="auto"/>
        <w:ind w:right="5687"/>
        <w:rPr>
          <w:rFonts w:ascii="Calibri" w:eastAsia="Calibri" w:hAnsi="Calibri" w:cs="Calibri"/>
          <w:color w:val="000000"/>
          <w:sz w:val="22"/>
          <w:szCs w:val="22"/>
        </w:rPr>
      </w:pPr>
    </w:p>
    <w:p w14:paraId="40FCBD06" w14:textId="77777777" w:rsidR="00571FF1" w:rsidRDefault="00571FF1" w:rsidP="00571FF1">
      <w:pPr>
        <w:spacing w:line="235" w:lineRule="auto"/>
        <w:ind w:right="5687"/>
        <w:rPr>
          <w:rFonts w:ascii="Calibri" w:eastAsia="Calibri" w:hAnsi="Calibri" w:cs="Calibri"/>
          <w:color w:val="000000"/>
          <w:sz w:val="22"/>
          <w:szCs w:val="22"/>
        </w:rPr>
      </w:pPr>
    </w:p>
    <w:p w14:paraId="3AEC64E6" w14:textId="77777777" w:rsidR="00571FF1" w:rsidRDefault="00571FF1" w:rsidP="00571FF1">
      <w:pPr>
        <w:spacing w:line="235" w:lineRule="auto"/>
        <w:ind w:right="5687"/>
        <w:rPr>
          <w:rFonts w:ascii="Calibri" w:eastAsia="Calibri" w:hAnsi="Calibri" w:cs="Calibri"/>
          <w:color w:val="000000"/>
          <w:sz w:val="22"/>
          <w:szCs w:val="22"/>
        </w:rPr>
      </w:pPr>
    </w:p>
    <w:p w14:paraId="19E79D9B" w14:textId="77777777" w:rsidR="00571FF1" w:rsidRDefault="00571FF1" w:rsidP="00571FF1">
      <w:pPr>
        <w:spacing w:line="235" w:lineRule="auto"/>
        <w:ind w:right="5687"/>
        <w:rPr>
          <w:rFonts w:ascii="Calibri" w:eastAsia="Calibri" w:hAnsi="Calibri" w:cs="Calibri"/>
          <w:color w:val="000000"/>
          <w:sz w:val="22"/>
          <w:szCs w:val="22"/>
        </w:rPr>
      </w:pPr>
    </w:p>
    <w:p w14:paraId="6595F2D0" w14:textId="77777777" w:rsidR="00377F7E" w:rsidRDefault="00377F7E" w:rsidP="00571FF1">
      <w:pPr>
        <w:spacing w:line="235" w:lineRule="auto"/>
        <w:ind w:right="5687"/>
        <w:rPr>
          <w:rFonts w:ascii="Calibri" w:eastAsia="Calibri" w:hAnsi="Calibri" w:cs="Calibri"/>
          <w:color w:val="000000"/>
          <w:sz w:val="22"/>
          <w:szCs w:val="22"/>
        </w:rPr>
      </w:pPr>
    </w:p>
    <w:p w14:paraId="4490F58C" w14:textId="77777777" w:rsidR="00377F7E" w:rsidRDefault="00377F7E" w:rsidP="00571FF1">
      <w:pPr>
        <w:spacing w:line="235" w:lineRule="auto"/>
        <w:ind w:right="5687"/>
        <w:rPr>
          <w:rFonts w:ascii="Calibri" w:eastAsia="Calibri" w:hAnsi="Calibri" w:cs="Calibri"/>
          <w:color w:val="000000"/>
          <w:sz w:val="22"/>
          <w:szCs w:val="22"/>
        </w:rPr>
      </w:pPr>
    </w:p>
    <w:p w14:paraId="0828C97D" w14:textId="77777777" w:rsidR="00377F7E" w:rsidRDefault="00377F7E" w:rsidP="00571FF1">
      <w:pPr>
        <w:spacing w:line="235" w:lineRule="auto"/>
        <w:ind w:right="5687"/>
        <w:rPr>
          <w:rFonts w:ascii="Calibri" w:eastAsia="Calibri" w:hAnsi="Calibri" w:cs="Calibri"/>
          <w:color w:val="000000"/>
          <w:sz w:val="22"/>
          <w:szCs w:val="22"/>
        </w:rPr>
      </w:pPr>
    </w:p>
    <w:p w14:paraId="1FC67AC8" w14:textId="77777777" w:rsidR="00377F7E" w:rsidRDefault="00377F7E" w:rsidP="00571FF1">
      <w:pPr>
        <w:spacing w:line="235" w:lineRule="auto"/>
        <w:ind w:right="5687"/>
        <w:rPr>
          <w:rFonts w:ascii="Calibri" w:eastAsia="Calibri" w:hAnsi="Calibri" w:cs="Calibri"/>
          <w:color w:val="000000"/>
          <w:sz w:val="22"/>
          <w:szCs w:val="22"/>
        </w:rPr>
      </w:pPr>
    </w:p>
    <w:p w14:paraId="1C61113E" w14:textId="77777777" w:rsidR="00571FF1" w:rsidRDefault="00593D5B" w:rsidP="00571FF1">
      <w:pPr>
        <w:spacing w:line="235" w:lineRule="auto"/>
        <w:ind w:right="5687"/>
        <w:rPr>
          <w:rFonts w:ascii="Calibri" w:eastAsia="Calibri" w:hAnsi="Calibri" w:cs="Calibri"/>
          <w:color w:val="000000"/>
          <w:sz w:val="22"/>
          <w:szCs w:val="22"/>
        </w:rPr>
      </w:pPr>
      <w:r>
        <w:rPr>
          <w:noProof/>
        </w:rPr>
        <mc:AlternateContent>
          <mc:Choice Requires="wps">
            <w:drawing>
              <wp:anchor distT="0" distB="0" distL="0" distR="0" simplePos="0" relativeHeight="251713024" behindDoc="1" locked="0" layoutInCell="0" allowOverlap="1" wp14:anchorId="52751B11" wp14:editId="719C389C">
                <wp:simplePos x="0" y="0"/>
                <wp:positionH relativeFrom="page">
                  <wp:posOffset>-13173</wp:posOffset>
                </wp:positionH>
                <wp:positionV relativeFrom="page">
                  <wp:posOffset>9532620</wp:posOffset>
                </wp:positionV>
                <wp:extent cx="6858000" cy="0"/>
                <wp:effectExtent l="0" t="0" r="12700" b="12700"/>
                <wp:wrapNone/>
                <wp:docPr id="79" name="drawingObject22"/>
                <wp:cNvGraphicFramePr/>
                <a:graphic xmlns:a="http://schemas.openxmlformats.org/drawingml/2006/main">
                  <a:graphicData uri="http://schemas.microsoft.com/office/word/2010/wordprocessingShape">
                    <wps:wsp>
                      <wps:cNvSpPr/>
                      <wps:spPr>
                        <a:xfrm>
                          <a:off x="0" y="0"/>
                          <a:ext cx="6858000" cy="0"/>
                        </a:xfrm>
                        <a:custGeom>
                          <a:avLst/>
                          <a:gdLst/>
                          <a:ahLst/>
                          <a:cxnLst/>
                          <a:rect l="0" t="0" r="0" b="0"/>
                          <a:pathLst>
                            <a:path w="6858000">
                              <a:moveTo>
                                <a:pt x="0" y="0"/>
                              </a:moveTo>
                              <a:lnTo>
                                <a:pt x="6858000" y="0"/>
                              </a:lnTo>
                            </a:path>
                          </a:pathLst>
                        </a:custGeom>
                        <a:noFill/>
                        <a:ln w="6350" cap="flat">
                          <a:solidFill>
                            <a:srgbClr val="1F4E79"/>
                          </a:solidFill>
                          <a:prstDash/>
                        </a:ln>
                      </wps:spPr>
                      <wps:bodyPr vertOverflow="overflow" horzOverflow="overflow" vert="horz" lIns="91440" tIns="45720" rIns="91440" bIns="45720" anchor="t"/>
                    </wps:wsp>
                  </a:graphicData>
                </a:graphic>
              </wp:anchor>
            </w:drawing>
          </mc:Choice>
          <mc:Fallback>
            <w:pict>
              <v:shape w14:anchorId="39612CE3" id="drawingObject22" o:spid="_x0000_s1026" style="position:absolute;margin-left:-1.05pt;margin-top:750.6pt;width:540pt;height:0;z-index:-251603456;visibility:visible;mso-wrap-style:square;mso-wrap-distance-left:0;mso-wrap-distance-top:0;mso-wrap-distance-right:0;mso-wrap-distance-bottom:0;mso-position-horizontal:absolute;mso-position-horizontal-relative:page;mso-position-vertical:absolute;mso-position-vertical-relative:page;v-text-anchor:top" coordsize="6858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" o:allowincell="f" path="m,l6858000,e" filled="f" strokecolor="#1f4e79" strokeweight=".5pt">
                <v:path arrowok="t" textboxrect="0,0,6858000,0"/>
                <w10:wrap anchorx="page" anchory="page"/>
              </v:shape>
            </w:pict>
          </mc:Fallback>
        </mc:AlternateContent>
      </w:r>
    </w:p>
    <w:p w14:paraId="292F0391" w14:textId="77777777" w:rsidR="00FE087C" w:rsidRDefault="00FE087C" w:rsidP="00377F7E">
      <w:pPr>
        <w:spacing w:line="235" w:lineRule="auto"/>
        <w:ind w:right="5687"/>
        <w:rPr>
          <w:rFonts w:ascii="Calibri" w:eastAsia="Calibri" w:hAnsi="Calibri" w:cs="Calibri"/>
          <w:b/>
          <w:bCs/>
          <w:i/>
          <w:iCs/>
          <w:color w:val="44546A"/>
          <w:sz w:val="36"/>
          <w:szCs w:val="36"/>
        </w:rPr>
      </w:pPr>
    </w:p>
    <w:p w14:paraId="52DF2F0B" w14:textId="4881733F" w:rsidR="00571FF1" w:rsidRPr="00377F7E" w:rsidRDefault="00571FF1" w:rsidP="00377F7E">
      <w:pPr>
        <w:spacing w:line="235" w:lineRule="auto"/>
        <w:ind w:right="5687"/>
        <w:rPr>
          <w:rFonts w:ascii="Calibri" w:eastAsia="Calibri" w:hAnsi="Calibri" w:cs="Calibri"/>
          <w:color w:val="000000"/>
          <w:sz w:val="22"/>
          <w:szCs w:val="22"/>
        </w:rPr>
      </w:pPr>
      <w:r w:rsidRPr="006103C6">
        <w:rPr>
          <w:rFonts w:ascii="Times New Roman" w:eastAsia="Times New Roman" w:hAnsi="Times New Roman" w:cs="Times New Roman"/>
          <w:noProof/>
        </w:rPr>
        <w:lastRenderedPageBreak/>
        <w:drawing>
          <wp:anchor distT="0" distB="0" distL="114300" distR="114300" simplePos="0" relativeHeight="251726336" behindDoc="0" locked="0" layoutInCell="1" allowOverlap="1" wp14:anchorId="1134A5EC" wp14:editId="2BCDFBEB">
            <wp:simplePos x="0" y="0"/>
            <wp:positionH relativeFrom="column">
              <wp:posOffset>3981691</wp:posOffset>
            </wp:positionH>
            <wp:positionV relativeFrom="paragraph">
              <wp:posOffset>410</wp:posOffset>
            </wp:positionV>
            <wp:extent cx="2325370" cy="361950"/>
            <wp:effectExtent l="0" t="0" r="0" b="6350"/>
            <wp:wrapSquare wrapText="bothSides"/>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5370" cy="3619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cs="Calibri"/>
          <w:b/>
          <w:bCs/>
          <w:i/>
          <w:iCs/>
          <w:color w:val="44546A"/>
          <w:sz w:val="36"/>
          <w:szCs w:val="36"/>
        </w:rPr>
        <w:t>Financial</w:t>
      </w:r>
      <w:r>
        <w:rPr>
          <w:rFonts w:ascii="Calibri" w:eastAsia="Calibri" w:hAnsi="Calibri" w:cs="Calibri"/>
          <w:color w:val="44546A"/>
          <w:sz w:val="36"/>
          <w:szCs w:val="36"/>
        </w:rPr>
        <w:t xml:space="preserve"> </w:t>
      </w:r>
      <w:r>
        <w:rPr>
          <w:rFonts w:ascii="Calibri" w:eastAsia="Calibri" w:hAnsi="Calibri" w:cs="Calibri"/>
          <w:b/>
          <w:bCs/>
          <w:i/>
          <w:iCs/>
          <w:color w:val="44546A"/>
          <w:sz w:val="36"/>
          <w:szCs w:val="36"/>
        </w:rPr>
        <w:t>Analysis</w:t>
      </w:r>
    </w:p>
    <w:p w14:paraId="571CA9B0" w14:textId="77777777" w:rsidR="00901EB5" w:rsidRPr="00377F7E" w:rsidRDefault="009E4B9B" w:rsidP="00377F7E">
      <w:pPr>
        <w:spacing w:line="235" w:lineRule="auto"/>
        <w:ind w:right="5687"/>
        <w:rPr>
          <w:rFonts w:ascii="Calibri" w:eastAsia="Calibri" w:hAnsi="Calibri" w:cs="Calibri"/>
          <w:color w:val="000000"/>
          <w:sz w:val="22"/>
          <w:szCs w:val="22"/>
        </w:rPr>
        <w:sectPr w:rsidR="00901EB5" w:rsidRPr="00377F7E" w:rsidSect="00C31C96">
          <w:type w:val="continuous"/>
          <w:pgSz w:w="10800" w:h="15600"/>
          <w:pgMar w:top="474" w:right="511" w:bottom="0" w:left="478" w:header="720" w:footer="227" w:gutter="0"/>
          <w:cols w:space="708"/>
          <w:docGrid w:linePitch="326"/>
        </w:sectPr>
      </w:pPr>
      <w:r>
        <w:rPr>
          <w:noProof/>
        </w:rPr>
        <mc:AlternateContent>
          <mc:Choice Requires="wps">
            <w:drawing>
              <wp:anchor distT="0" distB="0" distL="114300" distR="114300" simplePos="0" relativeHeight="251748864" behindDoc="0" locked="0" layoutInCell="1" allowOverlap="1" wp14:anchorId="18462E28" wp14:editId="57656875">
                <wp:simplePos x="0" y="0"/>
                <wp:positionH relativeFrom="column">
                  <wp:posOffset>4373245</wp:posOffset>
                </wp:positionH>
                <wp:positionV relativeFrom="paragraph">
                  <wp:posOffset>339725</wp:posOffset>
                </wp:positionV>
                <wp:extent cx="20955" cy="8590915"/>
                <wp:effectExtent l="0" t="0" r="17145" b="19685"/>
                <wp:wrapNone/>
                <wp:docPr id="28" name="Straight Connector 28"/>
                <wp:cNvGraphicFramePr/>
                <a:graphic xmlns:a="http://schemas.openxmlformats.org/drawingml/2006/main">
                  <a:graphicData uri="http://schemas.microsoft.com/office/word/2010/wordprocessingShape">
                    <wps:wsp>
                      <wps:cNvCnPr/>
                      <wps:spPr>
                        <a:xfrm>
                          <a:off x="0" y="0"/>
                          <a:ext cx="20955" cy="8590915"/>
                        </a:xfrm>
                        <a:prstGeom prst="line">
                          <a:avLst/>
                        </a:prstGeom>
                        <a:ln>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73A3F3" id="Straight Connector 28" o:spid="_x0000_s1026" style="position:absolute;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4.35pt,26.75pt" to="346pt,70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" strokecolor="#1f3763 [1604]" strokeweight=".5pt">
                <v:stroke joinstyle="miter"/>
              </v:line>
            </w:pict>
          </mc:Fallback>
        </mc:AlternateContent>
      </w:r>
      <w:r>
        <w:rPr>
          <w:noProof/>
        </w:rPr>
        <mc:AlternateContent>
          <mc:Choice Requires="wps">
            <w:drawing>
              <wp:anchor distT="0" distB="0" distL="114300" distR="114300" simplePos="0" relativeHeight="251732480" behindDoc="0" locked="0" layoutInCell="1" allowOverlap="1" wp14:anchorId="6865259F" wp14:editId="0B612BCB">
                <wp:simplePos x="0" y="0"/>
                <wp:positionH relativeFrom="column">
                  <wp:posOffset>4370070</wp:posOffset>
                </wp:positionH>
                <wp:positionV relativeFrom="paragraph">
                  <wp:posOffset>340360</wp:posOffset>
                </wp:positionV>
                <wp:extent cx="2081530" cy="7580630"/>
                <wp:effectExtent l="0" t="0" r="1270" b="1270"/>
                <wp:wrapNone/>
                <wp:docPr id="92" name="Text Box 92"/>
                <wp:cNvGraphicFramePr/>
                <a:graphic xmlns:a="http://schemas.openxmlformats.org/drawingml/2006/main">
                  <a:graphicData uri="http://schemas.microsoft.com/office/word/2010/wordprocessingShape">
                    <wps:wsp>
                      <wps:cNvSpPr txBox="1"/>
                      <wps:spPr>
                        <a:xfrm>
                          <a:off x="0" y="0"/>
                          <a:ext cx="2081530" cy="7580630"/>
                        </a:xfrm>
                        <a:prstGeom prst="rect">
                          <a:avLst/>
                        </a:prstGeom>
                        <a:solidFill>
                          <a:schemeClr val="lt1"/>
                        </a:solidFill>
                        <a:ln w="6350">
                          <a:noFill/>
                        </a:ln>
                      </wps:spPr>
                      <wps:txbx>
                        <w:txbxContent>
                          <w:p w14:paraId="5E14B471" w14:textId="77777777" w:rsidR="00062D14" w:rsidRDefault="00062D14">
                            <w:r>
                              <w:rPr>
                                <w:noProof/>
                              </w:rPr>
                              <w:drawing>
                                <wp:inline distT="0" distB="0" distL="0" distR="0" wp14:anchorId="10DE7107" wp14:editId="40A2DA82">
                                  <wp:extent cx="1842770" cy="1714500"/>
                                  <wp:effectExtent l="0" t="0" r="11430" b="12700"/>
                                  <wp:docPr id="48" name="Chart 48">
                                    <a:extLst xmlns:a="http://schemas.openxmlformats.org/drawingml/2006/main">
                                      <a:ext uri="{FF2B5EF4-FFF2-40B4-BE49-F238E27FC236}">
                                        <a16:creationId xmlns:a16="http://schemas.microsoft.com/office/drawing/2014/main" id="{2B544A6E-5CE7-9343-9A1D-42B53330E91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B5B3CD9" w14:textId="77777777" w:rsidR="00062D14" w:rsidRDefault="00062D14"/>
                          <w:p w14:paraId="563A3CF4" w14:textId="77777777" w:rsidR="00062D14" w:rsidRDefault="00062D14"/>
                          <w:p w14:paraId="13413A9B" w14:textId="77777777" w:rsidR="00062D14" w:rsidRDefault="00062D14"/>
                          <w:p w14:paraId="4871F73E" w14:textId="77777777" w:rsidR="00062D14" w:rsidRDefault="00062D14">
                            <w:r>
                              <w:rPr>
                                <w:noProof/>
                              </w:rPr>
                              <w:drawing>
                                <wp:inline distT="0" distB="0" distL="0" distR="0" wp14:anchorId="42A57EB6" wp14:editId="61FAE73A">
                                  <wp:extent cx="1842770" cy="1752600"/>
                                  <wp:effectExtent l="0" t="0" r="11430" b="12700"/>
                                  <wp:docPr id="49" name="Chart 49">
                                    <a:extLst xmlns:a="http://schemas.openxmlformats.org/drawingml/2006/main">
                                      <a:ext uri="{FF2B5EF4-FFF2-40B4-BE49-F238E27FC236}">
                                        <a16:creationId xmlns:a16="http://schemas.microsoft.com/office/drawing/2014/main" id="{8BAE1BE4-6644-BF45-B0D4-B6B95B42B94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726E26F" w14:textId="77777777" w:rsidR="00062D14" w:rsidRDefault="00062D14"/>
                          <w:p w14:paraId="09C99F29" w14:textId="77777777" w:rsidR="00062D14" w:rsidRDefault="00062D14"/>
                          <w:p w14:paraId="16EB8B6A" w14:textId="77777777" w:rsidR="00062D14" w:rsidRDefault="00062D14">
                            <w:r>
                              <w:rPr>
                                <w:noProof/>
                              </w:rPr>
                              <w:drawing>
                                <wp:inline distT="0" distB="0" distL="0" distR="0" wp14:anchorId="71859779" wp14:editId="2D110361">
                                  <wp:extent cx="1842770" cy="1752600"/>
                                  <wp:effectExtent l="0" t="0" r="11430" b="12700"/>
                                  <wp:docPr id="54" name="Chart 54">
                                    <a:extLst xmlns:a="http://schemas.openxmlformats.org/drawingml/2006/main">
                                      <a:ext uri="{FF2B5EF4-FFF2-40B4-BE49-F238E27FC236}">
                                        <a16:creationId xmlns:a16="http://schemas.microsoft.com/office/drawing/2014/main" id="{9CA1CD89-2C82-3A45-BEE5-6CCC864791E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55018BA" w14:textId="77777777" w:rsidR="00062D14" w:rsidRPr="004D4317" w:rsidRDefault="00062D14" w:rsidP="00402A34">
                            <w:pPr>
                              <w:jc w:val="center"/>
                              <w:rPr>
                                <w:sz w:val="22"/>
                                <w:szCs w:val="22"/>
                              </w:rPr>
                            </w:pPr>
                            <w:r>
                              <w:rPr>
                                <w:sz w:val="22"/>
                                <w:szCs w:val="22"/>
                              </w:rPr>
                              <w:t>Source: 2017-2020 Annual Reports</w:t>
                            </w:r>
                          </w:p>
                          <w:p w14:paraId="4CD192C1" w14:textId="77777777" w:rsidR="00062D14" w:rsidRDefault="00062D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65259F" id="Text Box 92" o:spid="_x0000_s1041" type="#_x0000_t202" style="position:absolute;margin-left:344.1pt;margin-top:26.8pt;width:163.9pt;height:596.9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" fillcolor="white [3201]" stroked="f" strokeweight=".5pt">
                <v:textbox>
                  <w:txbxContent>
                    <w:p w14:paraId="5E14B471" w14:textId="77777777" w:rsidR="00062D14" w:rsidRDefault="00062D14">
                      <w:r>
                        <w:rPr>
                          <w:noProof/>
                        </w:rPr>
                        <w:drawing>
                          <wp:inline distT="0" distB="0" distL="0" distR="0" wp14:anchorId="10DE7107" wp14:editId="40A2DA82">
                            <wp:extent cx="1842770" cy="1714500"/>
                            <wp:effectExtent l="0" t="0" r="11430" b="12700"/>
                            <wp:docPr id="48" name="Chart 48">
                              <a:extLst xmlns:a="http://schemas.openxmlformats.org/drawingml/2006/main">
                                <a:ext uri="{FF2B5EF4-FFF2-40B4-BE49-F238E27FC236}">
                                  <a16:creationId xmlns:a16="http://schemas.microsoft.com/office/drawing/2014/main" id="{2B544A6E-5CE7-9343-9A1D-42B53330E91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B5B3CD9" w14:textId="77777777" w:rsidR="00062D14" w:rsidRDefault="00062D14"/>
                    <w:p w14:paraId="563A3CF4" w14:textId="77777777" w:rsidR="00062D14" w:rsidRDefault="00062D14"/>
                    <w:p w14:paraId="13413A9B" w14:textId="77777777" w:rsidR="00062D14" w:rsidRDefault="00062D14"/>
                    <w:p w14:paraId="4871F73E" w14:textId="77777777" w:rsidR="00062D14" w:rsidRDefault="00062D14">
                      <w:r>
                        <w:rPr>
                          <w:noProof/>
                        </w:rPr>
                        <w:drawing>
                          <wp:inline distT="0" distB="0" distL="0" distR="0" wp14:anchorId="42A57EB6" wp14:editId="61FAE73A">
                            <wp:extent cx="1842770" cy="1752600"/>
                            <wp:effectExtent l="0" t="0" r="11430" b="12700"/>
                            <wp:docPr id="49" name="Chart 49">
                              <a:extLst xmlns:a="http://schemas.openxmlformats.org/drawingml/2006/main">
                                <a:ext uri="{FF2B5EF4-FFF2-40B4-BE49-F238E27FC236}">
                                  <a16:creationId xmlns:a16="http://schemas.microsoft.com/office/drawing/2014/main" id="{8BAE1BE4-6644-BF45-B0D4-B6B95B42B94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726E26F" w14:textId="77777777" w:rsidR="00062D14" w:rsidRDefault="00062D14"/>
                    <w:p w14:paraId="09C99F29" w14:textId="77777777" w:rsidR="00062D14" w:rsidRDefault="00062D14"/>
                    <w:p w14:paraId="16EB8B6A" w14:textId="77777777" w:rsidR="00062D14" w:rsidRDefault="00062D14">
                      <w:r>
                        <w:rPr>
                          <w:noProof/>
                        </w:rPr>
                        <w:drawing>
                          <wp:inline distT="0" distB="0" distL="0" distR="0" wp14:anchorId="71859779" wp14:editId="2D110361">
                            <wp:extent cx="1842770" cy="1752600"/>
                            <wp:effectExtent l="0" t="0" r="11430" b="12700"/>
                            <wp:docPr id="54" name="Chart 54">
                              <a:extLst xmlns:a="http://schemas.openxmlformats.org/drawingml/2006/main">
                                <a:ext uri="{FF2B5EF4-FFF2-40B4-BE49-F238E27FC236}">
                                  <a16:creationId xmlns:a16="http://schemas.microsoft.com/office/drawing/2014/main" id="{9CA1CD89-2C82-3A45-BEE5-6CCC864791E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55018BA" w14:textId="77777777" w:rsidR="00062D14" w:rsidRPr="004D4317" w:rsidRDefault="00062D14" w:rsidP="00402A34">
                      <w:pPr>
                        <w:jc w:val="center"/>
                        <w:rPr>
                          <w:sz w:val="22"/>
                          <w:szCs w:val="22"/>
                        </w:rPr>
                      </w:pPr>
                      <w:r>
                        <w:rPr>
                          <w:sz w:val="22"/>
                          <w:szCs w:val="22"/>
                        </w:rPr>
                        <w:t>Source: 2017-2020 Annual Reports</w:t>
                      </w:r>
                    </w:p>
                    <w:p w14:paraId="4CD192C1" w14:textId="77777777" w:rsidR="00062D14" w:rsidRDefault="00062D14"/>
                  </w:txbxContent>
                </v:textbox>
              </v:shape>
            </w:pict>
          </mc:Fallback>
        </mc:AlternateContent>
      </w:r>
      <w:r w:rsidR="00571FF1">
        <w:rPr>
          <w:rFonts w:ascii="Calibri" w:eastAsia="Calibri" w:hAnsi="Calibri" w:cs="Calibri"/>
          <w:b/>
          <w:bCs/>
          <w:i/>
          <w:iCs/>
          <w:noProof/>
          <w:color w:val="44546A"/>
          <w:sz w:val="36"/>
          <w:szCs w:val="36"/>
        </w:rPr>
        <mc:AlternateContent>
          <mc:Choice Requires="wps">
            <w:drawing>
              <wp:anchor distT="0" distB="0" distL="114300" distR="114300" simplePos="0" relativeHeight="251722240" behindDoc="0" locked="0" layoutInCell="1" allowOverlap="1" wp14:anchorId="29D9B4DC" wp14:editId="1FFC128C">
                <wp:simplePos x="0" y="0"/>
                <wp:positionH relativeFrom="column">
                  <wp:posOffset>-2588</wp:posOffset>
                </wp:positionH>
                <wp:positionV relativeFrom="paragraph">
                  <wp:posOffset>20481</wp:posOffset>
                </wp:positionV>
                <wp:extent cx="4062095" cy="7708739"/>
                <wp:effectExtent l="0" t="0" r="1905" b="635"/>
                <wp:wrapNone/>
                <wp:docPr id="84" name="Text Box 84"/>
                <wp:cNvGraphicFramePr/>
                <a:graphic xmlns:a="http://schemas.openxmlformats.org/drawingml/2006/main">
                  <a:graphicData uri="http://schemas.microsoft.com/office/word/2010/wordprocessingShape">
                    <wps:wsp>
                      <wps:cNvSpPr txBox="1"/>
                      <wps:spPr>
                        <a:xfrm>
                          <a:off x="0" y="0"/>
                          <a:ext cx="4062095" cy="7708739"/>
                        </a:xfrm>
                        <a:prstGeom prst="rect">
                          <a:avLst/>
                        </a:prstGeom>
                        <a:solidFill>
                          <a:schemeClr val="lt1"/>
                        </a:solidFill>
                        <a:ln w="6350">
                          <a:noFill/>
                        </a:ln>
                      </wps:spPr>
                      <wps:txbx>
                        <w:txbxContent>
                          <w:p w14:paraId="21BE2EAA" w14:textId="77777777" w:rsidR="00062D14" w:rsidRDefault="00062D14">
                            <w:pPr>
                              <w:rPr>
                                <w:u w:val="single"/>
                              </w:rPr>
                            </w:pPr>
                            <w:r>
                              <w:rPr>
                                <w:u w:val="single"/>
                              </w:rPr>
                              <w:t>Profit margin</w:t>
                            </w:r>
                          </w:p>
                          <w:p w14:paraId="1810E4E2" w14:textId="77777777" w:rsidR="00062D14" w:rsidRDefault="00062D14">
                            <w:pPr>
                              <w:rPr>
                                <w:u w:val="single"/>
                              </w:rPr>
                            </w:pPr>
                          </w:p>
                          <w:p w14:paraId="5B29839F" w14:textId="77777777" w:rsidR="00062D14" w:rsidRDefault="00062D14">
                            <w:r>
                              <w:t>Urban Logistics is an extremely profitable company. Excluding revaluations the company had a 2019 net profit margin of 54.9%. Broken down; 93.6% of revenue made it to gross margin, 75.4% then made it to operating margin, and finally after financing expenses 54.9% finally made it to net margin.</w:t>
                            </w:r>
                          </w:p>
                          <w:p w14:paraId="62AB5C93" w14:textId="77777777" w:rsidR="00062D14" w:rsidRDefault="00062D14"/>
                          <w:p w14:paraId="630B703B" w14:textId="77777777" w:rsidR="00062D14" w:rsidRDefault="00062D14">
                            <w:r>
                              <w:t>As previously stated, we expect this profit margin to increase in coming years as an increased operating margin drags up net margin.</w:t>
                            </w:r>
                          </w:p>
                          <w:p w14:paraId="48DD78CD" w14:textId="77777777" w:rsidR="00062D14" w:rsidRDefault="00062D14"/>
                          <w:p w14:paraId="7370237E" w14:textId="77777777" w:rsidR="00062D14" w:rsidRDefault="00062D14">
                            <w:pPr>
                              <w:rPr>
                                <w:u w:val="single"/>
                              </w:rPr>
                            </w:pPr>
                            <w:r>
                              <w:rPr>
                                <w:u w:val="single"/>
                              </w:rPr>
                              <w:t>Debt Position</w:t>
                            </w:r>
                          </w:p>
                          <w:p w14:paraId="300E7C81" w14:textId="77777777" w:rsidR="00062D14" w:rsidRDefault="00062D14">
                            <w:pPr>
                              <w:rPr>
                                <w:u w:val="single"/>
                              </w:rPr>
                            </w:pPr>
                          </w:p>
                          <w:p w14:paraId="36CB31B6" w14:textId="77777777" w:rsidR="00062D14" w:rsidRDefault="00062D14">
                            <w:r>
                              <w:t>Urban logistics has up to this point used debt sparingly to fund its expansions, instead preferring to issue equity. This has resulted in a strong balance sheet with a long term debt to equity ratio of only 0.62 in 2020(HY). Long term debt, including lease liabilities, now stands at £77.7M, representing a Loan to Value (book) of 34.1%. This gearing is on the low end of its peer group, and below management’s own target of 35%-40%. This allows Urban Logistics optimise financing in their coming expansion.</w:t>
                            </w:r>
                          </w:p>
                          <w:p w14:paraId="2C3EEC95" w14:textId="77777777" w:rsidR="00062D14" w:rsidRDefault="00062D14"/>
                          <w:p w14:paraId="0506E554" w14:textId="77777777" w:rsidR="00062D14" w:rsidRDefault="00062D14">
                            <w:r>
                              <w:t xml:space="preserve">Financing expense has grown in line with the asset base and subsequent revenue. This cost has on average represented an annual payment of around 3% on outstanding debt. This is in line with our expectation of Urban Logistics’ cost of debt, and we don’t expect it to substantially increase in coming years. </w:t>
                            </w:r>
                          </w:p>
                          <w:p w14:paraId="749868C8" w14:textId="77777777" w:rsidR="00062D14" w:rsidRDefault="00062D14"/>
                          <w:p w14:paraId="15F8B360" w14:textId="77777777" w:rsidR="00062D14" w:rsidRPr="00450118" w:rsidRDefault="00062D14">
                            <w:r>
                              <w:t xml:space="preserve">There is very little risk of the company becoming unable to manage debt payments, with operating profit consistently representing around 370% of finance expense.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D9B4DC" id="Text Box 84" o:spid="_x0000_s1042" type="#_x0000_t202" style="position:absolute;margin-left:-.2pt;margin-top:1.6pt;width:319.85pt;height:607pt;z-index:251722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" fillcolor="white [3201]" stroked="f" strokeweight=".5pt">
                <v:textbox>
                  <w:txbxContent>
                    <w:p w14:paraId="21BE2EAA" w14:textId="77777777" w:rsidR="00062D14" w:rsidRDefault="00062D14">
                      <w:pPr>
                        <w:rPr>
                          <w:u w:val="single"/>
                        </w:rPr>
                      </w:pPr>
                      <w:r>
                        <w:rPr>
                          <w:u w:val="single"/>
                        </w:rPr>
                        <w:t>Profit margin</w:t>
                      </w:r>
                    </w:p>
                    <w:p w14:paraId="1810E4E2" w14:textId="77777777" w:rsidR="00062D14" w:rsidRDefault="00062D14">
                      <w:pPr>
                        <w:rPr>
                          <w:u w:val="single"/>
                        </w:rPr>
                      </w:pPr>
                    </w:p>
                    <w:p w14:paraId="5B29839F" w14:textId="77777777" w:rsidR="00062D14" w:rsidRDefault="00062D14">
                      <w:r>
                        <w:t>Urban Logistics is an extremely profitable company. Excluding revaluations the company had a 2019 net profit margin of 54.9%. Broken down; 93.6% of revenue made it to gross margin, 75.4% then made it to operating margin, and finally after financing expenses 54.9% finally made it to net margin.</w:t>
                      </w:r>
                    </w:p>
                    <w:p w14:paraId="62AB5C93" w14:textId="77777777" w:rsidR="00062D14" w:rsidRDefault="00062D14"/>
                    <w:p w14:paraId="630B703B" w14:textId="77777777" w:rsidR="00062D14" w:rsidRDefault="00062D14">
                      <w:r>
                        <w:t>As previously stated, we expect this profit margin to increase in coming years as an increased operating margin drags up net margin.</w:t>
                      </w:r>
                    </w:p>
                    <w:p w14:paraId="48DD78CD" w14:textId="77777777" w:rsidR="00062D14" w:rsidRDefault="00062D14"/>
                    <w:p w14:paraId="7370237E" w14:textId="77777777" w:rsidR="00062D14" w:rsidRDefault="00062D14">
                      <w:pPr>
                        <w:rPr>
                          <w:u w:val="single"/>
                        </w:rPr>
                      </w:pPr>
                      <w:r>
                        <w:rPr>
                          <w:u w:val="single"/>
                        </w:rPr>
                        <w:t>Debt Position</w:t>
                      </w:r>
                    </w:p>
                    <w:p w14:paraId="300E7C81" w14:textId="77777777" w:rsidR="00062D14" w:rsidRDefault="00062D14">
                      <w:pPr>
                        <w:rPr>
                          <w:u w:val="single"/>
                        </w:rPr>
                      </w:pPr>
                    </w:p>
                    <w:p w14:paraId="36CB31B6" w14:textId="77777777" w:rsidR="00062D14" w:rsidRDefault="00062D14">
                      <w:r>
                        <w:t>Urban logistics has up to this point used debt sparingly to fund its expansions, instead preferring to issue equity. This has resulted in a strong balance sheet with a long term debt to equity ratio of only 0.62 in 2020(HY). Long term debt, including lease liabilities, now stands at £77.7M, representing a Loan to Value (book) of 34.1%. This gearing is on the low end of its peer group, and below management’s own target of 35%-40%. This allows Urban Logistics optimise financing in their coming expansion.</w:t>
                      </w:r>
                    </w:p>
                    <w:p w14:paraId="2C3EEC95" w14:textId="77777777" w:rsidR="00062D14" w:rsidRDefault="00062D14"/>
                    <w:p w14:paraId="0506E554" w14:textId="77777777" w:rsidR="00062D14" w:rsidRDefault="00062D14">
                      <w:r>
                        <w:t xml:space="preserve">Financing expense has grown in line with the asset base and subsequent revenue. This cost has on average represented an annual payment of around 3% on outstanding debt. This is in line with our expectation of Urban Logistics’ cost of debt, and we don’t expect it to substantially increase in coming years. </w:t>
                      </w:r>
                    </w:p>
                    <w:p w14:paraId="749868C8" w14:textId="77777777" w:rsidR="00062D14" w:rsidRDefault="00062D14"/>
                    <w:p w14:paraId="15F8B360" w14:textId="77777777" w:rsidR="00062D14" w:rsidRPr="00450118" w:rsidRDefault="00062D14">
                      <w:r>
                        <w:t xml:space="preserve">There is very little risk of the company becoming unable to manage debt payments, with operating profit consistently representing around 370% of finance expense. </w:t>
                      </w:r>
                    </w:p>
                  </w:txbxContent>
                </v:textbox>
              </v:shape>
            </w:pict>
          </mc:Fallback>
        </mc:AlternateContent>
      </w:r>
      <w:r w:rsidR="00C31C96">
        <w:rPr>
          <w:noProof/>
        </w:rPr>
        <mc:AlternateContent>
          <mc:Choice Requires="wps">
            <w:drawing>
              <wp:anchor distT="0" distB="0" distL="0" distR="0" simplePos="0" relativeHeight="251653632" behindDoc="1" locked="0" layoutInCell="0" allowOverlap="1" wp14:anchorId="2460484C" wp14:editId="1CC2515F">
                <wp:simplePos x="0" y="0"/>
                <wp:positionH relativeFrom="page">
                  <wp:posOffset>-3175</wp:posOffset>
                </wp:positionH>
                <wp:positionV relativeFrom="page">
                  <wp:posOffset>9502293</wp:posOffset>
                </wp:positionV>
                <wp:extent cx="6858000" cy="0"/>
                <wp:effectExtent l="0" t="0" r="0" b="0"/>
                <wp:wrapNone/>
                <wp:docPr id="41" name="drawingObject44"/>
                <wp:cNvGraphicFramePr/>
                <a:graphic xmlns:a="http://schemas.openxmlformats.org/drawingml/2006/main">
                  <a:graphicData uri="http://schemas.microsoft.com/office/word/2010/wordprocessingShape">
                    <wps:wsp>
                      <wps:cNvSpPr/>
                      <wps:spPr>
                        <a:xfrm>
                          <a:off x="0" y="0"/>
                          <a:ext cx="6858000" cy="0"/>
                        </a:xfrm>
                        <a:custGeom>
                          <a:avLst/>
                          <a:gdLst/>
                          <a:ahLst/>
                          <a:cxnLst/>
                          <a:rect l="0" t="0" r="0" b="0"/>
                          <a:pathLst>
                            <a:path w="6858000">
                              <a:moveTo>
                                <a:pt x="0" y="0"/>
                              </a:moveTo>
                              <a:lnTo>
                                <a:pt x="6858000" y="0"/>
                              </a:lnTo>
                            </a:path>
                          </a:pathLst>
                        </a:custGeom>
                        <a:noFill/>
                        <a:ln w="6350" cap="flat">
                          <a:solidFill>
                            <a:srgbClr val="1F4E79"/>
                          </a:solidFill>
                          <a:prstDash/>
                        </a:ln>
                      </wps:spPr>
                      <wps:bodyPr vertOverflow="overflow" horzOverflow="overflow" vert="horz" lIns="91440" tIns="45720" rIns="91440" bIns="45720" anchor="t"/>
                    </wps:wsp>
                  </a:graphicData>
                </a:graphic>
              </wp:anchor>
            </w:drawing>
          </mc:Choice>
          <mc:Fallback>
            <w:pict>
              <v:shape w14:anchorId="438C6892" id="drawingObject44" o:spid="_x0000_s1026" style="position:absolute;margin-left:-.25pt;margin-top:748.2pt;width:540pt;height:0;z-index:-251662848;visibility:visible;mso-wrap-style:square;mso-wrap-distance-left:0;mso-wrap-distance-top:0;mso-wrap-distance-right:0;mso-wrap-distance-bottom:0;mso-position-horizontal:absolute;mso-position-horizontal-relative:page;mso-position-vertical:absolute;mso-position-vertical-relative:page;v-text-anchor:top" coordsize="6858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" o:allowincell="f" path="m,l6858000,e" filled="f" strokecolor="#1f4e79" strokeweight=".5pt">
                <v:path arrowok="t" textboxrect="0,0,6858000,0"/>
                <w10:wrap anchorx="page" anchory="page"/>
              </v:shape>
            </w:pict>
          </mc:Fallback>
        </mc:AlternateContent>
      </w:r>
    </w:p>
    <w:p w14:paraId="01A6A5F9" w14:textId="77777777" w:rsidR="00901EB5" w:rsidRPr="00377F7E" w:rsidRDefault="00501518">
      <w:pPr>
        <w:ind w:right="-20"/>
        <w:rPr>
          <w:rFonts w:ascii="Calibri" w:eastAsia="Calibri" w:hAnsi="Calibri" w:cs="Calibri"/>
          <w:b/>
          <w:bCs/>
          <w:color w:val="7030A0"/>
          <w:sz w:val="36"/>
          <w:szCs w:val="36"/>
        </w:rPr>
      </w:pPr>
      <w:r w:rsidRPr="006103C6">
        <w:rPr>
          <w:rFonts w:ascii="Times New Roman" w:eastAsia="Times New Roman" w:hAnsi="Times New Roman" w:cs="Times New Roman"/>
          <w:noProof/>
        </w:rPr>
        <w:lastRenderedPageBreak/>
        <w:drawing>
          <wp:anchor distT="0" distB="0" distL="114300" distR="114300" simplePos="0" relativeHeight="251703808" behindDoc="0" locked="0" layoutInCell="1" allowOverlap="1" wp14:anchorId="65B8611B" wp14:editId="6D724077">
            <wp:simplePos x="0" y="0"/>
            <wp:positionH relativeFrom="column">
              <wp:posOffset>3992390</wp:posOffset>
            </wp:positionH>
            <wp:positionV relativeFrom="paragraph">
              <wp:posOffset>0</wp:posOffset>
            </wp:positionV>
            <wp:extent cx="2325370" cy="361950"/>
            <wp:effectExtent l="0" t="0" r="0" b="6350"/>
            <wp:wrapSquare wrapText="bothSides"/>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5370"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008B48BC">
        <w:rPr>
          <w:rFonts w:ascii="Calibri" w:eastAsia="Calibri" w:hAnsi="Calibri" w:cs="Calibri"/>
          <w:b/>
          <w:bCs/>
          <w:i/>
          <w:iCs/>
          <w:color w:val="44546A"/>
          <w:sz w:val="36"/>
          <w:szCs w:val="36"/>
        </w:rPr>
        <w:t>Valuation:</w:t>
      </w:r>
      <w:r w:rsidR="008B48BC">
        <w:rPr>
          <w:rFonts w:ascii="Calibri" w:eastAsia="Calibri" w:hAnsi="Calibri" w:cs="Calibri"/>
          <w:color w:val="44546A"/>
          <w:sz w:val="36"/>
          <w:szCs w:val="36"/>
        </w:rPr>
        <w:t xml:space="preserve"> </w:t>
      </w:r>
      <w:r w:rsidR="008B48BC">
        <w:rPr>
          <w:rFonts w:ascii="Calibri" w:eastAsia="Calibri" w:hAnsi="Calibri" w:cs="Calibri"/>
          <w:b/>
          <w:bCs/>
          <w:i/>
          <w:iCs/>
          <w:color w:val="44546A"/>
          <w:sz w:val="36"/>
          <w:szCs w:val="36"/>
        </w:rPr>
        <w:t>Methodology</w:t>
      </w:r>
    </w:p>
    <w:p w14:paraId="7139FD8C" w14:textId="77777777" w:rsidR="00901EB5" w:rsidRDefault="00901EB5">
      <w:pPr>
        <w:spacing w:after="47" w:line="240" w:lineRule="exact"/>
        <w:rPr>
          <w:rFonts w:ascii="Calibri" w:eastAsia="Calibri" w:hAnsi="Calibri" w:cs="Calibri"/>
        </w:rPr>
      </w:pPr>
    </w:p>
    <w:p w14:paraId="58C0D7A0" w14:textId="77777777" w:rsidR="00901EB5" w:rsidRDefault="00C4672D">
      <w:pPr>
        <w:spacing w:line="240" w:lineRule="exact"/>
        <w:rPr>
          <w:rFonts w:ascii="Calibri" w:eastAsia="Calibri" w:hAnsi="Calibri" w:cs="Calibri"/>
        </w:rPr>
      </w:pPr>
      <w:r>
        <w:rPr>
          <w:rFonts w:ascii="Calibri" w:eastAsia="Calibri" w:hAnsi="Calibri" w:cs="Calibri"/>
          <w:noProof/>
        </w:rPr>
        <mc:AlternateContent>
          <mc:Choice Requires="wps">
            <w:drawing>
              <wp:anchor distT="0" distB="0" distL="114300" distR="114300" simplePos="0" relativeHeight="251682304" behindDoc="0" locked="0" layoutInCell="1" allowOverlap="1" wp14:anchorId="53201881" wp14:editId="1158EFB2">
                <wp:simplePos x="0" y="0"/>
                <wp:positionH relativeFrom="column">
                  <wp:posOffset>8986</wp:posOffset>
                </wp:positionH>
                <wp:positionV relativeFrom="paragraph">
                  <wp:posOffset>33824</wp:posOffset>
                </wp:positionV>
                <wp:extent cx="6377651" cy="6794340"/>
                <wp:effectExtent l="0" t="0" r="0" b="635"/>
                <wp:wrapNone/>
                <wp:docPr id="53" name="Text Box 53"/>
                <wp:cNvGraphicFramePr/>
                <a:graphic xmlns:a="http://schemas.openxmlformats.org/drawingml/2006/main">
                  <a:graphicData uri="http://schemas.microsoft.com/office/word/2010/wordprocessingShape">
                    <wps:wsp>
                      <wps:cNvSpPr txBox="1"/>
                      <wps:spPr>
                        <a:xfrm>
                          <a:off x="0" y="0"/>
                          <a:ext cx="6377651" cy="6794340"/>
                        </a:xfrm>
                        <a:prstGeom prst="rect">
                          <a:avLst/>
                        </a:prstGeom>
                        <a:solidFill>
                          <a:schemeClr val="lt1"/>
                        </a:solidFill>
                        <a:ln w="6350">
                          <a:noFill/>
                        </a:ln>
                      </wps:spPr>
                      <wps:txbx>
                        <w:txbxContent>
                          <w:p w14:paraId="632AD128" w14:textId="77777777" w:rsidR="00062D14" w:rsidRDefault="00062D14">
                            <w:r>
                              <w:t>As Urban Logistics has only 3 years of financial statements, a period in which it has grown its asset base by over 400%, the financial results of the past aren’t accurately predictive of the company’s future. To combat this problem we have built a customised dividend discount model. This model works by viewing the company as a machine that every year translates a proportion of its asset base (at acquisition cost) into income distributable to shareholders. We view the REIT as purely for income generation and therefore do not factor in any potential gains from property disposals.</w:t>
                            </w:r>
                          </w:p>
                          <w:p w14:paraId="7CA6E54A" w14:textId="77777777" w:rsidR="00062D14" w:rsidRDefault="00062D14"/>
                          <w:p w14:paraId="29B7338E" w14:textId="77777777" w:rsidR="00062D14" w:rsidRDefault="00062D14">
                            <w:r>
                              <w:t>In our base case model we make assumptions we believe to be conservative:</w:t>
                            </w:r>
                          </w:p>
                          <w:p w14:paraId="7441A92C" w14:textId="77777777" w:rsidR="00062D14" w:rsidRDefault="00062D14" w:rsidP="007249B3">
                            <w:pPr>
                              <w:pStyle w:val="ListParagraph"/>
                              <w:numPr>
                                <w:ilvl w:val="0"/>
                                <w:numId w:val="3"/>
                              </w:numPr>
                            </w:pPr>
                            <w:r>
                              <w:t>Annually net income will represent 4% of asset value. We exclude revaluations.</w:t>
                            </w:r>
                          </w:p>
                          <w:p w14:paraId="1603EDFB" w14:textId="77777777" w:rsidR="00062D14" w:rsidRDefault="00062D14" w:rsidP="007249B3">
                            <w:pPr>
                              <w:pStyle w:val="ListParagraph"/>
                              <w:numPr>
                                <w:ilvl w:val="0"/>
                                <w:numId w:val="3"/>
                              </w:numPr>
                            </w:pPr>
                            <w:r>
                              <w:t>90% of net income will be paid as a dividend each year, as this is the legal minimum for a REIT.</w:t>
                            </w:r>
                          </w:p>
                          <w:p w14:paraId="2FCD665D" w14:textId="77777777" w:rsidR="00062D14" w:rsidRDefault="00062D14" w:rsidP="00790DE0">
                            <w:pPr>
                              <w:pStyle w:val="ListParagraph"/>
                              <w:numPr>
                                <w:ilvl w:val="0"/>
                                <w:numId w:val="3"/>
                              </w:numPr>
                            </w:pPr>
                            <w:r>
                              <w:t>Asset value will grow in line with inflation (1.75%) until 2024.</w:t>
                            </w:r>
                          </w:p>
                          <w:p w14:paraId="75DCCFC1" w14:textId="77777777" w:rsidR="00062D14" w:rsidRDefault="00062D14" w:rsidP="00790DE0">
                            <w:pPr>
                              <w:pStyle w:val="ListParagraph"/>
                              <w:numPr>
                                <w:ilvl w:val="0"/>
                                <w:numId w:val="3"/>
                              </w:numPr>
                            </w:pPr>
                            <w:r>
                              <w:t>Past 2024 asset value will grow at the Bank of England’s 2% target.</w:t>
                            </w:r>
                          </w:p>
                          <w:p w14:paraId="331B1461" w14:textId="77777777" w:rsidR="00062D14" w:rsidRDefault="00062D14" w:rsidP="007249B3"/>
                          <w:p w14:paraId="30E98B0E" w14:textId="77777777" w:rsidR="00062D14" w:rsidRDefault="00062D14" w:rsidP="007249B3">
                            <w:r>
                              <w:t>Rather than use a WACC or CAPM discount rate, we take the discount rate to be the expected return of a similarly risky security. We believe that risk in Urban Logistics is derived from two sources:</w:t>
                            </w:r>
                          </w:p>
                          <w:p w14:paraId="0A886C4F" w14:textId="77777777" w:rsidR="00062D14" w:rsidRDefault="00062D14" w:rsidP="007249B3">
                            <w:pPr>
                              <w:pStyle w:val="ListParagraph"/>
                              <w:numPr>
                                <w:ilvl w:val="0"/>
                                <w:numId w:val="4"/>
                              </w:numPr>
                            </w:pPr>
                            <w:r>
                              <w:t>The company’s own credit risk (proxied by their cost of debt)</w:t>
                            </w:r>
                          </w:p>
                          <w:p w14:paraId="2EAFCC78" w14:textId="77777777" w:rsidR="00062D14" w:rsidRDefault="00062D14" w:rsidP="007249B3">
                            <w:pPr>
                              <w:pStyle w:val="ListParagraph"/>
                              <w:numPr>
                                <w:ilvl w:val="0"/>
                                <w:numId w:val="4"/>
                              </w:numPr>
                            </w:pPr>
                            <w:r>
                              <w:t xml:space="preserve">The risk of tenant defaults (proxied quantitatively to be in the worst case equal to a BBB rated bond) </w:t>
                            </w:r>
                          </w:p>
                          <w:p w14:paraId="2943F328" w14:textId="77777777" w:rsidR="00062D14" w:rsidRDefault="00062D14" w:rsidP="00790DE0"/>
                          <w:p w14:paraId="2ED41E06" w14:textId="77777777" w:rsidR="00062D14" w:rsidRDefault="00062D14" w:rsidP="00790DE0">
                            <w:r>
                              <w:t xml:space="preserve">An implicit assumption of this model is that future asset growth through acquisitions will neither create nor destroy shareholder value per share. This assumption is based on doubt of our own prophetic ability. Whilst we are confident in management’s ability to create value going forward, we cannot accurately quantify how much value management can add in perpetuity and therefore do not include it in our model. </w:t>
                            </w:r>
                          </w:p>
                          <w:p w14:paraId="1A909384" w14:textId="77777777" w:rsidR="00062D14" w:rsidRDefault="00062D14" w:rsidP="00790D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201881" id="Text Box 53" o:spid="_x0000_s1043" type="#_x0000_t202" style="position:absolute;margin-left:.7pt;margin-top:2.65pt;width:502.2pt;height:53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" fillcolor="white [3201]" stroked="f" strokeweight=".5pt">
                <v:textbox>
                  <w:txbxContent>
                    <w:p w14:paraId="632AD128" w14:textId="77777777" w:rsidR="00062D14" w:rsidRDefault="00062D14">
                      <w:r>
                        <w:t>As Urban Logistics has only 3 years of financial statements, a period in which it has grown its asset base by over 400%, the financial results of the past aren’t accurately predictive of the company’s future. To combat this problem we have built a customised dividend discount model. This model works by viewing the company as a machine that every year translates a proportion of its asset base (at acquisition cost) into income distributable to shareholders. We view the REIT as purely for income generation and therefore do not factor in any potential gains from property disposals.</w:t>
                      </w:r>
                    </w:p>
                    <w:p w14:paraId="7CA6E54A" w14:textId="77777777" w:rsidR="00062D14" w:rsidRDefault="00062D14"/>
                    <w:p w14:paraId="29B7338E" w14:textId="77777777" w:rsidR="00062D14" w:rsidRDefault="00062D14">
                      <w:r>
                        <w:t>In our base case model we make assumptions we believe to be conservative:</w:t>
                      </w:r>
                    </w:p>
                    <w:p w14:paraId="7441A92C" w14:textId="77777777" w:rsidR="00062D14" w:rsidRDefault="00062D14" w:rsidP="007249B3">
                      <w:pPr>
                        <w:pStyle w:val="ListParagraph"/>
                        <w:numPr>
                          <w:ilvl w:val="0"/>
                          <w:numId w:val="3"/>
                        </w:numPr>
                      </w:pPr>
                      <w:r>
                        <w:t>Annually net income will represent 4% of asset value. We exclude revaluations.</w:t>
                      </w:r>
                    </w:p>
                    <w:p w14:paraId="1603EDFB" w14:textId="77777777" w:rsidR="00062D14" w:rsidRDefault="00062D14" w:rsidP="007249B3">
                      <w:pPr>
                        <w:pStyle w:val="ListParagraph"/>
                        <w:numPr>
                          <w:ilvl w:val="0"/>
                          <w:numId w:val="3"/>
                        </w:numPr>
                      </w:pPr>
                      <w:r>
                        <w:t>90% of net income will be paid as a dividend each year, as this is the legal minimum for a REIT.</w:t>
                      </w:r>
                    </w:p>
                    <w:p w14:paraId="2FCD665D" w14:textId="77777777" w:rsidR="00062D14" w:rsidRDefault="00062D14" w:rsidP="00790DE0">
                      <w:pPr>
                        <w:pStyle w:val="ListParagraph"/>
                        <w:numPr>
                          <w:ilvl w:val="0"/>
                          <w:numId w:val="3"/>
                        </w:numPr>
                      </w:pPr>
                      <w:r>
                        <w:t>Asset value will grow in line with inflation (1.75%) until 2024.</w:t>
                      </w:r>
                    </w:p>
                    <w:p w14:paraId="75DCCFC1" w14:textId="77777777" w:rsidR="00062D14" w:rsidRDefault="00062D14" w:rsidP="00790DE0">
                      <w:pPr>
                        <w:pStyle w:val="ListParagraph"/>
                        <w:numPr>
                          <w:ilvl w:val="0"/>
                          <w:numId w:val="3"/>
                        </w:numPr>
                      </w:pPr>
                      <w:r>
                        <w:t>Past 2024 asset value will grow at the Bank of England’s 2% target.</w:t>
                      </w:r>
                    </w:p>
                    <w:p w14:paraId="331B1461" w14:textId="77777777" w:rsidR="00062D14" w:rsidRDefault="00062D14" w:rsidP="007249B3"/>
                    <w:p w14:paraId="30E98B0E" w14:textId="77777777" w:rsidR="00062D14" w:rsidRDefault="00062D14" w:rsidP="007249B3">
                      <w:r>
                        <w:t>Rather than use a WACC or CAPM discount rate, we take the discount rate to be the expected return of a similarly risky security. We believe that risk in Urban Logistics is derived from two sources:</w:t>
                      </w:r>
                    </w:p>
                    <w:p w14:paraId="0A886C4F" w14:textId="77777777" w:rsidR="00062D14" w:rsidRDefault="00062D14" w:rsidP="007249B3">
                      <w:pPr>
                        <w:pStyle w:val="ListParagraph"/>
                        <w:numPr>
                          <w:ilvl w:val="0"/>
                          <w:numId w:val="4"/>
                        </w:numPr>
                      </w:pPr>
                      <w:r>
                        <w:t>The company’s own credit risk (proxied by their cost of debt)</w:t>
                      </w:r>
                    </w:p>
                    <w:p w14:paraId="2EAFCC78" w14:textId="77777777" w:rsidR="00062D14" w:rsidRDefault="00062D14" w:rsidP="007249B3">
                      <w:pPr>
                        <w:pStyle w:val="ListParagraph"/>
                        <w:numPr>
                          <w:ilvl w:val="0"/>
                          <w:numId w:val="4"/>
                        </w:numPr>
                      </w:pPr>
                      <w:r>
                        <w:t xml:space="preserve">The risk of tenant defaults (proxied quantitatively to be in the worst case equal to a BBB rated bond) </w:t>
                      </w:r>
                    </w:p>
                    <w:p w14:paraId="2943F328" w14:textId="77777777" w:rsidR="00062D14" w:rsidRDefault="00062D14" w:rsidP="00790DE0"/>
                    <w:p w14:paraId="2ED41E06" w14:textId="77777777" w:rsidR="00062D14" w:rsidRDefault="00062D14" w:rsidP="00790DE0">
                      <w:r>
                        <w:t xml:space="preserve">An implicit assumption of this model is that future asset growth through acquisitions will neither create nor destroy shareholder value per share. This assumption is based on doubt of our own prophetic ability. Whilst we are confident in management’s ability to create value going forward, we cannot accurately quantify how much value management can add in perpetuity and therefore do not include it in our model. </w:t>
                      </w:r>
                    </w:p>
                    <w:p w14:paraId="1A909384" w14:textId="77777777" w:rsidR="00062D14" w:rsidRDefault="00062D14" w:rsidP="00790DE0"/>
                  </w:txbxContent>
                </v:textbox>
              </v:shape>
            </w:pict>
          </mc:Fallback>
        </mc:AlternateContent>
      </w:r>
    </w:p>
    <w:p w14:paraId="791CEC90" w14:textId="77777777" w:rsidR="00901EB5" w:rsidRDefault="00901EB5">
      <w:pPr>
        <w:spacing w:line="240" w:lineRule="exact"/>
        <w:rPr>
          <w:rFonts w:ascii="Calibri" w:eastAsia="Calibri" w:hAnsi="Calibri" w:cs="Calibri"/>
        </w:rPr>
      </w:pPr>
    </w:p>
    <w:p w14:paraId="65AC4F8A" w14:textId="77777777" w:rsidR="00901EB5" w:rsidRDefault="00901EB5">
      <w:pPr>
        <w:spacing w:line="240" w:lineRule="exact"/>
        <w:rPr>
          <w:rFonts w:ascii="Calibri" w:eastAsia="Calibri" w:hAnsi="Calibri" w:cs="Calibri"/>
        </w:rPr>
      </w:pPr>
    </w:p>
    <w:p w14:paraId="1E744B75" w14:textId="77777777" w:rsidR="00901EB5" w:rsidRDefault="00901EB5">
      <w:pPr>
        <w:spacing w:line="240" w:lineRule="exact"/>
        <w:rPr>
          <w:rFonts w:ascii="Calibri" w:eastAsia="Calibri" w:hAnsi="Calibri" w:cs="Calibri"/>
        </w:rPr>
      </w:pPr>
    </w:p>
    <w:p w14:paraId="6E7F97AD" w14:textId="77777777" w:rsidR="00901EB5" w:rsidRDefault="00901EB5">
      <w:pPr>
        <w:spacing w:line="240" w:lineRule="exact"/>
        <w:rPr>
          <w:rFonts w:ascii="Calibri" w:eastAsia="Calibri" w:hAnsi="Calibri" w:cs="Calibri"/>
        </w:rPr>
      </w:pPr>
    </w:p>
    <w:p w14:paraId="2FEAAF53" w14:textId="77777777" w:rsidR="00901EB5" w:rsidRDefault="00901EB5">
      <w:pPr>
        <w:spacing w:line="240" w:lineRule="exact"/>
        <w:rPr>
          <w:rFonts w:ascii="Calibri" w:eastAsia="Calibri" w:hAnsi="Calibri" w:cs="Calibri"/>
        </w:rPr>
      </w:pPr>
    </w:p>
    <w:p w14:paraId="5954D725" w14:textId="77777777" w:rsidR="00901EB5" w:rsidRDefault="00901EB5">
      <w:pPr>
        <w:spacing w:line="240" w:lineRule="exact"/>
        <w:rPr>
          <w:rFonts w:ascii="Calibri" w:eastAsia="Calibri" w:hAnsi="Calibri" w:cs="Calibri"/>
        </w:rPr>
      </w:pPr>
    </w:p>
    <w:p w14:paraId="26CE9809" w14:textId="77777777" w:rsidR="00901EB5" w:rsidRDefault="00901EB5">
      <w:pPr>
        <w:spacing w:line="240" w:lineRule="exact"/>
        <w:rPr>
          <w:rFonts w:ascii="Calibri" w:eastAsia="Calibri" w:hAnsi="Calibri" w:cs="Calibri"/>
        </w:rPr>
      </w:pPr>
    </w:p>
    <w:p w14:paraId="5EAB52D5" w14:textId="77777777" w:rsidR="00901EB5" w:rsidRDefault="00901EB5">
      <w:pPr>
        <w:spacing w:line="240" w:lineRule="exact"/>
        <w:rPr>
          <w:rFonts w:ascii="Calibri" w:eastAsia="Calibri" w:hAnsi="Calibri" w:cs="Calibri"/>
        </w:rPr>
      </w:pPr>
    </w:p>
    <w:p w14:paraId="6D958CBE" w14:textId="77777777" w:rsidR="00901EB5" w:rsidRDefault="00901EB5">
      <w:pPr>
        <w:spacing w:line="240" w:lineRule="exact"/>
        <w:rPr>
          <w:rFonts w:ascii="Calibri" w:eastAsia="Calibri" w:hAnsi="Calibri" w:cs="Calibri"/>
        </w:rPr>
      </w:pPr>
    </w:p>
    <w:p w14:paraId="1D454D49" w14:textId="77777777" w:rsidR="00901EB5" w:rsidRDefault="00901EB5">
      <w:pPr>
        <w:spacing w:line="240" w:lineRule="exact"/>
        <w:rPr>
          <w:rFonts w:ascii="Calibri" w:eastAsia="Calibri" w:hAnsi="Calibri" w:cs="Calibri"/>
        </w:rPr>
      </w:pPr>
    </w:p>
    <w:p w14:paraId="06B2B188" w14:textId="77777777" w:rsidR="00901EB5" w:rsidRDefault="00901EB5">
      <w:pPr>
        <w:spacing w:line="240" w:lineRule="exact"/>
        <w:rPr>
          <w:rFonts w:ascii="Calibri" w:eastAsia="Calibri" w:hAnsi="Calibri" w:cs="Calibri"/>
        </w:rPr>
      </w:pPr>
    </w:p>
    <w:p w14:paraId="105150E0" w14:textId="77777777" w:rsidR="00901EB5" w:rsidRDefault="00901EB5">
      <w:pPr>
        <w:spacing w:line="240" w:lineRule="exact"/>
        <w:rPr>
          <w:rFonts w:ascii="Calibri" w:eastAsia="Calibri" w:hAnsi="Calibri" w:cs="Calibri"/>
        </w:rPr>
      </w:pPr>
    </w:p>
    <w:p w14:paraId="1A986A22" w14:textId="77777777" w:rsidR="00901EB5" w:rsidRDefault="00901EB5">
      <w:pPr>
        <w:spacing w:line="240" w:lineRule="exact"/>
        <w:rPr>
          <w:rFonts w:ascii="Calibri" w:eastAsia="Calibri" w:hAnsi="Calibri" w:cs="Calibri"/>
        </w:rPr>
      </w:pPr>
    </w:p>
    <w:p w14:paraId="642C5C23" w14:textId="77777777" w:rsidR="00901EB5" w:rsidRDefault="00901EB5">
      <w:pPr>
        <w:spacing w:line="240" w:lineRule="exact"/>
        <w:rPr>
          <w:rFonts w:ascii="Calibri" w:eastAsia="Calibri" w:hAnsi="Calibri" w:cs="Calibri"/>
        </w:rPr>
      </w:pPr>
    </w:p>
    <w:p w14:paraId="14D796FD" w14:textId="77777777" w:rsidR="00901EB5" w:rsidRDefault="00901EB5">
      <w:pPr>
        <w:spacing w:line="240" w:lineRule="exact"/>
        <w:rPr>
          <w:rFonts w:ascii="Calibri" w:eastAsia="Calibri" w:hAnsi="Calibri" w:cs="Calibri"/>
        </w:rPr>
      </w:pPr>
    </w:p>
    <w:p w14:paraId="2DC82D72" w14:textId="77777777" w:rsidR="00901EB5" w:rsidRDefault="00901EB5">
      <w:pPr>
        <w:spacing w:line="240" w:lineRule="exact"/>
        <w:rPr>
          <w:rFonts w:ascii="Calibri" w:eastAsia="Calibri" w:hAnsi="Calibri" w:cs="Calibri"/>
        </w:rPr>
      </w:pPr>
    </w:p>
    <w:p w14:paraId="73843777" w14:textId="77777777" w:rsidR="00901EB5" w:rsidRDefault="00901EB5">
      <w:pPr>
        <w:spacing w:line="240" w:lineRule="exact"/>
        <w:rPr>
          <w:rFonts w:ascii="Calibri" w:eastAsia="Calibri" w:hAnsi="Calibri" w:cs="Calibri"/>
        </w:rPr>
      </w:pPr>
    </w:p>
    <w:p w14:paraId="3250D441" w14:textId="77777777" w:rsidR="00901EB5" w:rsidRDefault="00901EB5">
      <w:pPr>
        <w:spacing w:line="240" w:lineRule="exact"/>
        <w:rPr>
          <w:rFonts w:ascii="Calibri" w:eastAsia="Calibri" w:hAnsi="Calibri" w:cs="Calibri"/>
        </w:rPr>
      </w:pPr>
    </w:p>
    <w:p w14:paraId="61EB9D8C" w14:textId="77777777" w:rsidR="00901EB5" w:rsidRDefault="00901EB5">
      <w:pPr>
        <w:spacing w:line="240" w:lineRule="exact"/>
        <w:rPr>
          <w:rFonts w:ascii="Calibri" w:eastAsia="Calibri" w:hAnsi="Calibri" w:cs="Calibri"/>
        </w:rPr>
      </w:pPr>
    </w:p>
    <w:p w14:paraId="2707FF31" w14:textId="77777777" w:rsidR="00901EB5" w:rsidRDefault="00901EB5">
      <w:pPr>
        <w:spacing w:line="240" w:lineRule="exact"/>
        <w:rPr>
          <w:rFonts w:ascii="Calibri" w:eastAsia="Calibri" w:hAnsi="Calibri" w:cs="Calibri"/>
        </w:rPr>
      </w:pPr>
    </w:p>
    <w:p w14:paraId="78D5D3E3" w14:textId="77777777" w:rsidR="00901EB5" w:rsidRDefault="00901EB5">
      <w:pPr>
        <w:spacing w:line="240" w:lineRule="exact"/>
        <w:rPr>
          <w:rFonts w:ascii="Calibri" w:eastAsia="Calibri" w:hAnsi="Calibri" w:cs="Calibri"/>
        </w:rPr>
      </w:pPr>
    </w:p>
    <w:p w14:paraId="3E2EAA8B" w14:textId="77777777" w:rsidR="00901EB5" w:rsidRDefault="00901EB5">
      <w:pPr>
        <w:spacing w:line="240" w:lineRule="exact"/>
        <w:rPr>
          <w:rFonts w:ascii="Calibri" w:eastAsia="Calibri" w:hAnsi="Calibri" w:cs="Calibri"/>
        </w:rPr>
      </w:pPr>
    </w:p>
    <w:p w14:paraId="1F5172BC" w14:textId="77777777" w:rsidR="00901EB5" w:rsidRDefault="00901EB5">
      <w:pPr>
        <w:spacing w:line="240" w:lineRule="exact"/>
        <w:rPr>
          <w:rFonts w:ascii="Calibri" w:eastAsia="Calibri" w:hAnsi="Calibri" w:cs="Calibri"/>
        </w:rPr>
      </w:pPr>
    </w:p>
    <w:p w14:paraId="12AB60C7" w14:textId="77777777" w:rsidR="00901EB5" w:rsidRDefault="00901EB5">
      <w:pPr>
        <w:spacing w:line="240" w:lineRule="exact"/>
        <w:rPr>
          <w:rFonts w:ascii="Calibri" w:eastAsia="Calibri" w:hAnsi="Calibri" w:cs="Calibri"/>
        </w:rPr>
      </w:pPr>
    </w:p>
    <w:p w14:paraId="53AC7AE6" w14:textId="77777777" w:rsidR="00901EB5" w:rsidRDefault="00901EB5">
      <w:pPr>
        <w:spacing w:line="240" w:lineRule="exact"/>
        <w:rPr>
          <w:rFonts w:ascii="Calibri" w:eastAsia="Calibri" w:hAnsi="Calibri" w:cs="Calibri"/>
        </w:rPr>
      </w:pPr>
    </w:p>
    <w:p w14:paraId="1AF3A3C5" w14:textId="77777777" w:rsidR="00901EB5" w:rsidRDefault="00901EB5">
      <w:pPr>
        <w:spacing w:line="240" w:lineRule="exact"/>
        <w:rPr>
          <w:rFonts w:ascii="Calibri" w:eastAsia="Calibri" w:hAnsi="Calibri" w:cs="Calibri"/>
        </w:rPr>
      </w:pPr>
    </w:p>
    <w:p w14:paraId="0FDE8AB8" w14:textId="77777777" w:rsidR="00901EB5" w:rsidRDefault="00901EB5">
      <w:pPr>
        <w:spacing w:line="240" w:lineRule="exact"/>
        <w:rPr>
          <w:rFonts w:ascii="Calibri" w:eastAsia="Calibri" w:hAnsi="Calibri" w:cs="Calibri"/>
        </w:rPr>
      </w:pPr>
    </w:p>
    <w:p w14:paraId="677C79A0" w14:textId="77777777" w:rsidR="00901EB5" w:rsidRDefault="00901EB5">
      <w:pPr>
        <w:spacing w:line="240" w:lineRule="exact"/>
        <w:rPr>
          <w:rFonts w:ascii="Calibri" w:eastAsia="Calibri" w:hAnsi="Calibri" w:cs="Calibri"/>
        </w:rPr>
      </w:pPr>
    </w:p>
    <w:p w14:paraId="2D52E597" w14:textId="77777777" w:rsidR="00901EB5" w:rsidRDefault="00901EB5">
      <w:pPr>
        <w:spacing w:line="240" w:lineRule="exact"/>
        <w:rPr>
          <w:rFonts w:ascii="Calibri" w:eastAsia="Calibri" w:hAnsi="Calibri" w:cs="Calibri"/>
        </w:rPr>
      </w:pPr>
    </w:p>
    <w:p w14:paraId="603E8C00" w14:textId="77777777" w:rsidR="00901EB5" w:rsidRDefault="00901EB5">
      <w:pPr>
        <w:spacing w:line="240" w:lineRule="exact"/>
        <w:rPr>
          <w:rFonts w:ascii="Calibri" w:eastAsia="Calibri" w:hAnsi="Calibri" w:cs="Calibri"/>
        </w:rPr>
      </w:pPr>
    </w:p>
    <w:p w14:paraId="5A8DB40A" w14:textId="77777777" w:rsidR="00901EB5" w:rsidRDefault="00901EB5">
      <w:pPr>
        <w:spacing w:line="240" w:lineRule="exact"/>
        <w:rPr>
          <w:rFonts w:ascii="Calibri" w:eastAsia="Calibri" w:hAnsi="Calibri" w:cs="Calibri"/>
        </w:rPr>
      </w:pPr>
    </w:p>
    <w:p w14:paraId="0940CDE3" w14:textId="77777777" w:rsidR="00901EB5" w:rsidRDefault="00901EB5">
      <w:pPr>
        <w:spacing w:line="240" w:lineRule="exact"/>
        <w:rPr>
          <w:rFonts w:ascii="Calibri" w:eastAsia="Calibri" w:hAnsi="Calibri" w:cs="Calibri"/>
        </w:rPr>
      </w:pPr>
    </w:p>
    <w:p w14:paraId="1627204F" w14:textId="77777777" w:rsidR="00901EB5" w:rsidRDefault="00901EB5">
      <w:pPr>
        <w:spacing w:line="240" w:lineRule="exact"/>
        <w:rPr>
          <w:rFonts w:ascii="Calibri" w:eastAsia="Calibri" w:hAnsi="Calibri" w:cs="Calibri"/>
        </w:rPr>
      </w:pPr>
    </w:p>
    <w:p w14:paraId="760F3BEE" w14:textId="77777777" w:rsidR="00901EB5" w:rsidRDefault="00901EB5">
      <w:pPr>
        <w:spacing w:line="240" w:lineRule="exact"/>
        <w:rPr>
          <w:rFonts w:ascii="Calibri" w:eastAsia="Calibri" w:hAnsi="Calibri" w:cs="Calibri"/>
        </w:rPr>
      </w:pPr>
    </w:p>
    <w:p w14:paraId="417B135F" w14:textId="77777777" w:rsidR="00901EB5" w:rsidRDefault="00901EB5">
      <w:pPr>
        <w:spacing w:line="240" w:lineRule="exact"/>
        <w:rPr>
          <w:rFonts w:ascii="Calibri" w:eastAsia="Calibri" w:hAnsi="Calibri" w:cs="Calibri"/>
        </w:rPr>
      </w:pPr>
    </w:p>
    <w:p w14:paraId="29A2EB5F" w14:textId="77777777" w:rsidR="00901EB5" w:rsidRDefault="00901EB5">
      <w:pPr>
        <w:spacing w:line="240" w:lineRule="exact"/>
        <w:rPr>
          <w:rFonts w:ascii="Calibri" w:eastAsia="Calibri" w:hAnsi="Calibri" w:cs="Calibri"/>
        </w:rPr>
      </w:pPr>
    </w:p>
    <w:p w14:paraId="6A2C5667" w14:textId="77777777" w:rsidR="00901EB5" w:rsidRDefault="00901EB5">
      <w:pPr>
        <w:spacing w:line="240" w:lineRule="exact"/>
        <w:rPr>
          <w:rFonts w:ascii="Calibri" w:eastAsia="Calibri" w:hAnsi="Calibri" w:cs="Calibri"/>
        </w:rPr>
      </w:pPr>
    </w:p>
    <w:p w14:paraId="41FBA4C7" w14:textId="77777777" w:rsidR="00901EB5" w:rsidRDefault="00901EB5">
      <w:pPr>
        <w:spacing w:line="240" w:lineRule="exact"/>
        <w:rPr>
          <w:rFonts w:ascii="Calibri" w:eastAsia="Calibri" w:hAnsi="Calibri" w:cs="Calibri"/>
        </w:rPr>
      </w:pPr>
    </w:p>
    <w:p w14:paraId="6DED4DB1" w14:textId="77777777" w:rsidR="00901EB5" w:rsidRDefault="00901EB5">
      <w:pPr>
        <w:spacing w:line="240" w:lineRule="exact"/>
        <w:rPr>
          <w:rFonts w:ascii="Calibri" w:eastAsia="Calibri" w:hAnsi="Calibri" w:cs="Calibri"/>
        </w:rPr>
      </w:pPr>
    </w:p>
    <w:p w14:paraId="43CA729E" w14:textId="77777777" w:rsidR="00901EB5" w:rsidRDefault="00901EB5">
      <w:pPr>
        <w:spacing w:line="240" w:lineRule="exact"/>
        <w:rPr>
          <w:rFonts w:ascii="Calibri" w:eastAsia="Calibri" w:hAnsi="Calibri" w:cs="Calibri"/>
        </w:rPr>
      </w:pPr>
    </w:p>
    <w:p w14:paraId="489BDFDB" w14:textId="77777777" w:rsidR="00901EB5" w:rsidRDefault="00901EB5">
      <w:pPr>
        <w:spacing w:line="240" w:lineRule="exact"/>
        <w:rPr>
          <w:rFonts w:ascii="Calibri" w:eastAsia="Calibri" w:hAnsi="Calibri" w:cs="Calibri"/>
        </w:rPr>
      </w:pPr>
    </w:p>
    <w:p w14:paraId="1EE7A0D7" w14:textId="77777777" w:rsidR="00901EB5" w:rsidRDefault="00901EB5">
      <w:pPr>
        <w:spacing w:line="240" w:lineRule="exact"/>
        <w:rPr>
          <w:rFonts w:ascii="Calibri" w:eastAsia="Calibri" w:hAnsi="Calibri" w:cs="Calibri"/>
        </w:rPr>
      </w:pPr>
    </w:p>
    <w:p w14:paraId="37120823" w14:textId="77777777" w:rsidR="00901EB5" w:rsidRDefault="00901EB5">
      <w:pPr>
        <w:spacing w:line="240" w:lineRule="exact"/>
        <w:rPr>
          <w:rFonts w:ascii="Calibri" w:eastAsia="Calibri" w:hAnsi="Calibri" w:cs="Calibri"/>
        </w:rPr>
      </w:pPr>
    </w:p>
    <w:p w14:paraId="49CEEAC0" w14:textId="77777777" w:rsidR="00377F7E" w:rsidRDefault="00377F7E" w:rsidP="00377F7E">
      <w:pPr>
        <w:spacing w:line="240" w:lineRule="exact"/>
        <w:rPr>
          <w:rFonts w:ascii="Calibri" w:eastAsia="Calibri" w:hAnsi="Calibri" w:cs="Calibri"/>
        </w:rPr>
      </w:pPr>
    </w:p>
    <w:p w14:paraId="22109EE5" w14:textId="77777777" w:rsidR="00377F7E" w:rsidRDefault="00377F7E" w:rsidP="00377F7E">
      <w:pPr>
        <w:spacing w:line="240" w:lineRule="exact"/>
        <w:rPr>
          <w:rFonts w:ascii="Calibri" w:eastAsia="Calibri" w:hAnsi="Calibri" w:cs="Calibri"/>
        </w:rPr>
      </w:pPr>
    </w:p>
    <w:p w14:paraId="72AC742E" w14:textId="77777777" w:rsidR="00377F7E" w:rsidRDefault="00377F7E" w:rsidP="00377F7E">
      <w:pPr>
        <w:spacing w:line="240" w:lineRule="exact"/>
        <w:rPr>
          <w:rFonts w:ascii="Calibri" w:eastAsia="Calibri" w:hAnsi="Calibri" w:cs="Calibri"/>
        </w:rPr>
      </w:pPr>
    </w:p>
    <w:p w14:paraId="5CF2035E" w14:textId="77777777" w:rsidR="00377F7E" w:rsidRDefault="00377F7E" w:rsidP="00377F7E">
      <w:pPr>
        <w:spacing w:line="240" w:lineRule="exact"/>
        <w:rPr>
          <w:rFonts w:ascii="Calibri" w:eastAsia="Calibri" w:hAnsi="Calibri" w:cs="Calibri"/>
        </w:rPr>
      </w:pPr>
    </w:p>
    <w:p w14:paraId="4B781453" w14:textId="77777777" w:rsidR="00377F7E" w:rsidRDefault="00377F7E" w:rsidP="00377F7E">
      <w:pPr>
        <w:spacing w:line="240" w:lineRule="exact"/>
        <w:rPr>
          <w:rFonts w:ascii="Calibri" w:eastAsia="Calibri" w:hAnsi="Calibri" w:cs="Calibri"/>
        </w:rPr>
      </w:pPr>
    </w:p>
    <w:p w14:paraId="58B09290" w14:textId="77777777" w:rsidR="00377F7E" w:rsidRDefault="00377F7E" w:rsidP="00377F7E">
      <w:pPr>
        <w:spacing w:line="240" w:lineRule="exact"/>
        <w:rPr>
          <w:rFonts w:ascii="Calibri" w:eastAsia="Calibri" w:hAnsi="Calibri" w:cs="Calibri"/>
        </w:rPr>
      </w:pPr>
    </w:p>
    <w:p w14:paraId="08F3730F" w14:textId="77777777" w:rsidR="00377F7E" w:rsidRDefault="00377F7E" w:rsidP="00377F7E">
      <w:pPr>
        <w:spacing w:line="240" w:lineRule="exact"/>
        <w:rPr>
          <w:rFonts w:ascii="Calibri" w:eastAsia="Calibri" w:hAnsi="Calibri" w:cs="Calibri"/>
        </w:rPr>
      </w:pPr>
    </w:p>
    <w:p w14:paraId="7E91CAA1" w14:textId="77777777" w:rsidR="00377F7E" w:rsidRDefault="00377F7E" w:rsidP="00377F7E">
      <w:pPr>
        <w:spacing w:line="240" w:lineRule="exact"/>
        <w:rPr>
          <w:rFonts w:ascii="Calibri" w:eastAsia="Calibri" w:hAnsi="Calibri" w:cs="Calibri"/>
        </w:rPr>
      </w:pPr>
    </w:p>
    <w:p w14:paraId="3A178DEE" w14:textId="77777777" w:rsidR="00377F7E" w:rsidRDefault="00377F7E" w:rsidP="00377F7E">
      <w:pPr>
        <w:spacing w:line="240" w:lineRule="exact"/>
        <w:rPr>
          <w:rFonts w:ascii="Calibri" w:eastAsia="Calibri" w:hAnsi="Calibri" w:cs="Calibri"/>
        </w:rPr>
      </w:pPr>
    </w:p>
    <w:p w14:paraId="34ACBEA6" w14:textId="77777777" w:rsidR="00377F7E" w:rsidRDefault="00377F7E" w:rsidP="00377F7E">
      <w:pPr>
        <w:spacing w:line="240" w:lineRule="exact"/>
        <w:rPr>
          <w:rFonts w:ascii="Calibri" w:eastAsia="Calibri" w:hAnsi="Calibri" w:cs="Calibri"/>
        </w:rPr>
      </w:pPr>
    </w:p>
    <w:p w14:paraId="621AC251" w14:textId="77777777" w:rsidR="00377F7E" w:rsidRDefault="00377F7E" w:rsidP="00377F7E">
      <w:pPr>
        <w:spacing w:line="240" w:lineRule="exact"/>
        <w:rPr>
          <w:rFonts w:ascii="Calibri" w:eastAsia="Calibri" w:hAnsi="Calibri" w:cs="Calibri"/>
        </w:rPr>
      </w:pPr>
    </w:p>
    <w:p w14:paraId="379D795D" w14:textId="77777777" w:rsidR="00377F7E" w:rsidRDefault="00377F7E" w:rsidP="00377F7E">
      <w:pPr>
        <w:spacing w:line="240" w:lineRule="exact"/>
        <w:rPr>
          <w:rFonts w:ascii="Calibri" w:eastAsia="Calibri" w:hAnsi="Calibri" w:cs="Calibri"/>
        </w:rPr>
      </w:pPr>
    </w:p>
    <w:p w14:paraId="2F45B9C1" w14:textId="77777777" w:rsidR="00377F7E" w:rsidRDefault="00377F7E" w:rsidP="00377F7E">
      <w:pPr>
        <w:spacing w:line="240" w:lineRule="exact"/>
        <w:rPr>
          <w:rFonts w:ascii="Calibri" w:eastAsia="Calibri" w:hAnsi="Calibri" w:cs="Calibri"/>
        </w:rPr>
      </w:pPr>
    </w:p>
    <w:p w14:paraId="20F3FA35" w14:textId="77777777" w:rsidR="00377F7E" w:rsidRDefault="00377F7E" w:rsidP="00377F7E">
      <w:pPr>
        <w:spacing w:line="240" w:lineRule="exact"/>
        <w:rPr>
          <w:rFonts w:ascii="Calibri" w:eastAsia="Calibri" w:hAnsi="Calibri" w:cs="Calibri"/>
        </w:rPr>
      </w:pPr>
    </w:p>
    <w:p w14:paraId="4AD2759B" w14:textId="77777777" w:rsidR="00377F7E" w:rsidRPr="00377F7E" w:rsidRDefault="00377F7E" w:rsidP="00377F7E">
      <w:pPr>
        <w:ind w:right="-20"/>
        <w:rPr>
          <w:rFonts w:ascii="Calibri" w:eastAsia="Calibri" w:hAnsi="Calibri" w:cs="Calibri"/>
          <w:b/>
          <w:bCs/>
          <w:color w:val="7030A0"/>
          <w:sz w:val="36"/>
          <w:szCs w:val="36"/>
        </w:rPr>
      </w:pPr>
      <w:r w:rsidRPr="006103C6">
        <w:rPr>
          <w:rFonts w:ascii="Times New Roman" w:eastAsia="Times New Roman" w:hAnsi="Times New Roman" w:cs="Times New Roman"/>
          <w:noProof/>
        </w:rPr>
        <w:drawing>
          <wp:anchor distT="0" distB="0" distL="114300" distR="114300" simplePos="0" relativeHeight="251756032" behindDoc="0" locked="0" layoutInCell="1" allowOverlap="1" wp14:anchorId="1BF0498C" wp14:editId="6C423714">
            <wp:simplePos x="0" y="0"/>
            <wp:positionH relativeFrom="column">
              <wp:posOffset>3981692</wp:posOffset>
            </wp:positionH>
            <wp:positionV relativeFrom="paragraph">
              <wp:posOffset>0</wp:posOffset>
            </wp:positionV>
            <wp:extent cx="2325370" cy="361950"/>
            <wp:effectExtent l="0" t="0" r="0" b="6350"/>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5370" cy="3619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cs="Calibri"/>
          <w:b/>
          <w:bCs/>
          <w:i/>
          <w:iCs/>
          <w:color w:val="44546A"/>
          <w:sz w:val="36"/>
          <w:szCs w:val="36"/>
        </w:rPr>
        <w:t>Base Case Assumptions</w:t>
      </w:r>
    </w:p>
    <w:p w14:paraId="06F6978D" w14:textId="77777777" w:rsidR="00377F7E" w:rsidRDefault="00377F7E" w:rsidP="00377F7E">
      <w:pPr>
        <w:spacing w:line="240" w:lineRule="exact"/>
        <w:rPr>
          <w:rFonts w:ascii="Calibri" w:eastAsia="Calibri" w:hAnsi="Calibri" w:cs="Calibri"/>
        </w:rPr>
      </w:pPr>
    </w:p>
    <w:p w14:paraId="3D20A057" w14:textId="77777777" w:rsidR="00901EB5" w:rsidRPr="00377F7E" w:rsidRDefault="00377F7E" w:rsidP="00377F7E">
      <w:pPr>
        <w:spacing w:line="240" w:lineRule="exact"/>
        <w:rPr>
          <w:rFonts w:ascii="Calibri" w:eastAsia="Calibri" w:hAnsi="Calibri" w:cs="Calibri"/>
        </w:rPr>
        <w:sectPr w:rsidR="00901EB5" w:rsidRPr="00377F7E" w:rsidSect="00C31C96">
          <w:pgSz w:w="10800" w:h="15600"/>
          <w:pgMar w:top="474" w:right="511" w:bottom="0" w:left="478" w:header="720" w:footer="227" w:gutter="0"/>
          <w:cols w:space="708"/>
          <w:docGrid w:linePitch="326"/>
        </w:sectPr>
      </w:pPr>
      <w:r>
        <w:rPr>
          <w:rFonts w:ascii="Calibri" w:eastAsia="Calibri" w:hAnsi="Calibri" w:cs="Calibri"/>
          <w:noProof/>
        </w:rPr>
        <mc:AlternateContent>
          <mc:Choice Requires="wps">
            <w:drawing>
              <wp:anchor distT="0" distB="0" distL="114300" distR="114300" simplePos="0" relativeHeight="251758080" behindDoc="0" locked="0" layoutInCell="1" allowOverlap="1" wp14:anchorId="4347F573" wp14:editId="3AA007EE">
                <wp:simplePos x="0" y="0"/>
                <wp:positionH relativeFrom="column">
                  <wp:posOffset>0</wp:posOffset>
                </wp:positionH>
                <wp:positionV relativeFrom="paragraph">
                  <wp:posOffset>0</wp:posOffset>
                </wp:positionV>
                <wp:extent cx="6435525" cy="6678593"/>
                <wp:effectExtent l="0" t="0" r="3810" b="1905"/>
                <wp:wrapNone/>
                <wp:docPr id="88" name="Text Box 88"/>
                <wp:cNvGraphicFramePr/>
                <a:graphic xmlns:a="http://schemas.openxmlformats.org/drawingml/2006/main">
                  <a:graphicData uri="http://schemas.microsoft.com/office/word/2010/wordprocessingShape">
                    <wps:wsp>
                      <wps:cNvSpPr txBox="1"/>
                      <wps:spPr>
                        <a:xfrm>
                          <a:off x="0" y="0"/>
                          <a:ext cx="6435525" cy="6678593"/>
                        </a:xfrm>
                        <a:prstGeom prst="rect">
                          <a:avLst/>
                        </a:prstGeom>
                        <a:solidFill>
                          <a:schemeClr val="lt1"/>
                        </a:solidFill>
                        <a:ln w="6350">
                          <a:noFill/>
                        </a:ln>
                      </wps:spPr>
                      <wps:txbx>
                        <w:txbxContent>
                          <w:p w14:paraId="0CC36CCF" w14:textId="77777777" w:rsidR="00062D14" w:rsidRDefault="00062D14" w:rsidP="00377F7E">
                            <w:r>
                              <w:t>Our base case valuation attempts to make strongly conservative assumptions as a starting point for quantitative analysis. Below explain each one of these assumptions, clarifying the justification for each and why we believe they are conservative. Are assumptions are as follows:</w:t>
                            </w:r>
                          </w:p>
                          <w:p w14:paraId="4031FF9D" w14:textId="77777777" w:rsidR="00062D14" w:rsidRDefault="00062D14" w:rsidP="00377F7E"/>
                          <w:p w14:paraId="59280FA3" w14:textId="77777777" w:rsidR="00062D14" w:rsidRDefault="00062D14" w:rsidP="00377F7E">
                            <w:r>
                              <w:rPr>
                                <w:b/>
                                <w:bCs/>
                              </w:rPr>
                              <w:t>Net income 4% of Asset Value</w:t>
                            </w:r>
                            <w:r>
                              <w:t>: This assumes that Urban Logistics’ assets will earn 4% of their value each year, after subtracting all costs associated with the operation of the company. We believe that this is a reasonable assumption as we have observed that in 2019, a year in which the asset base (at acquisition cost) expanded by 34% and thus a third of assets weren’t earning for the full 12 months, Urban Logistics was able to generate 3.65% of net income as a percentage of asset value . Additionally with a demand/supply imbalance driven by secular demand shifts and a 9% reversionary buffer, we believe this 4% figure to be suitably conservative.</w:t>
                            </w:r>
                          </w:p>
                          <w:p w14:paraId="70ECC5BD" w14:textId="77777777" w:rsidR="00062D14" w:rsidRDefault="00062D14" w:rsidP="00377F7E"/>
                          <w:p w14:paraId="466AE895" w14:textId="77777777" w:rsidR="00062D14" w:rsidRDefault="00062D14" w:rsidP="00377F7E">
                            <w:r>
                              <w:rPr>
                                <w:b/>
                                <w:bCs/>
                              </w:rPr>
                              <w:t>1.75% growth until 2024</w:t>
                            </w:r>
                            <w:r>
                              <w:t xml:space="preserve">: Urban logistics has written up the value of its portfolio by an average of 16.4% in the past 2 years. Whilst we exclude these write ups from our analysis, if the true increase in asset value is only a quarter of what has been recorded, we are still underestimating by about 2.5%. </w:t>
                            </w:r>
                          </w:p>
                          <w:p w14:paraId="0E697EF6" w14:textId="77777777" w:rsidR="00062D14" w:rsidRDefault="00062D14" w:rsidP="00377F7E"/>
                          <w:p w14:paraId="00386D40" w14:textId="77777777" w:rsidR="00062D14" w:rsidRDefault="00062D14" w:rsidP="00377F7E">
                            <w:r>
                              <w:rPr>
                                <w:b/>
                                <w:bCs/>
                              </w:rPr>
                              <w:t xml:space="preserve">2% growth after 2024: </w:t>
                            </w:r>
                            <w:r>
                              <w:t>This assumption implies that the real value of assets will see no growth. Without a radical disruption of the logistics industry, it seems likely that supply will continue to face physical and administrative constraints that stop it from matching e-commerce driven demand.  This is an issue of a fixed maximum supply that simply can’t expand fast enough to meet the unlimited potential growth of demand. Therefore we conclude that it is highly likely that our base case assumption is too conservative and the asset base will in fact see real appreciation in value.</w:t>
                            </w:r>
                          </w:p>
                          <w:p w14:paraId="0FC3E77A" w14:textId="77777777" w:rsidR="00062D14" w:rsidRDefault="00062D14" w:rsidP="00377F7E"/>
                          <w:p w14:paraId="6993E1C6" w14:textId="77777777" w:rsidR="00062D14" w:rsidRDefault="00062D14" w:rsidP="00377F7E">
                            <w:r>
                              <w:rPr>
                                <w:b/>
                                <w:bCs/>
                              </w:rPr>
                              <w:t>Future acquisitions are value neutral</w:t>
                            </w:r>
                            <w:r>
                              <w:t>: Management have to this point been able to leverage their industry experience and contacts to acquire properties at well below replacement cost. These acquisitions have continually been well executed and value accretive to shareholders. Therefore we believe it is particularly conservative to assume that, from this point onwards, management will be incapable of adding value to shareholders</w:t>
                            </w:r>
                          </w:p>
                          <w:p w14:paraId="694968D0" w14:textId="77777777" w:rsidR="00062D14" w:rsidRDefault="00062D14" w:rsidP="00377F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47F573" id="Text Box 88" o:spid="_x0000_s1044" type="#_x0000_t202" style="position:absolute;margin-left:0;margin-top:0;width:506.75pt;height:525.8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" fillcolor="white [3201]" stroked="f" strokeweight=".5pt">
                <v:textbox>
                  <w:txbxContent>
                    <w:p w14:paraId="0CC36CCF" w14:textId="77777777" w:rsidR="00062D14" w:rsidRDefault="00062D14" w:rsidP="00377F7E">
                      <w:r>
                        <w:t>Our base case valuation attempts to make strongly conservative assumptions as a starting point for quantitative analysis. Below explain each one of these assumptions, clarifying the justification for each and why we believe they are conservative. Are assumptions are as follows:</w:t>
                      </w:r>
                    </w:p>
                    <w:p w14:paraId="4031FF9D" w14:textId="77777777" w:rsidR="00062D14" w:rsidRDefault="00062D14" w:rsidP="00377F7E"/>
                    <w:p w14:paraId="59280FA3" w14:textId="77777777" w:rsidR="00062D14" w:rsidRDefault="00062D14" w:rsidP="00377F7E">
                      <w:r>
                        <w:rPr>
                          <w:b/>
                          <w:bCs/>
                        </w:rPr>
                        <w:t>Net income 4% of Asset Value</w:t>
                      </w:r>
                      <w:r>
                        <w:t>: This assumes that Urban Logistics’ assets will earn 4% of their value each year, after subtracting all costs associated with the operation of the company. We believe that this is a reasonable assumption as we have observed that in 2019, a year in which the asset base (at acquisition cost) expanded by 34% and thus a third of assets weren’t earning for the full 12 months, Urban Logistics was able to generate 3.65% of net income as a percentage of asset value . Additionally with a demand/supply imbalance driven by secular demand shifts and a 9% reversionary buffer, we believe this 4% figure to be suitably conservative.</w:t>
                      </w:r>
                    </w:p>
                    <w:p w14:paraId="70ECC5BD" w14:textId="77777777" w:rsidR="00062D14" w:rsidRDefault="00062D14" w:rsidP="00377F7E"/>
                    <w:p w14:paraId="466AE895" w14:textId="77777777" w:rsidR="00062D14" w:rsidRDefault="00062D14" w:rsidP="00377F7E">
                      <w:r>
                        <w:rPr>
                          <w:b/>
                          <w:bCs/>
                        </w:rPr>
                        <w:t>1.75% growth until 2024</w:t>
                      </w:r>
                      <w:r>
                        <w:t xml:space="preserve">: Urban logistics has written up the value of its portfolio by an average of 16.4% in the past 2 years. Whilst we exclude these write ups from our analysis, if the true increase in asset value is only a quarter of what has been recorded, we are still underestimating by about 2.5%. </w:t>
                      </w:r>
                    </w:p>
                    <w:p w14:paraId="0E697EF6" w14:textId="77777777" w:rsidR="00062D14" w:rsidRDefault="00062D14" w:rsidP="00377F7E"/>
                    <w:p w14:paraId="00386D40" w14:textId="77777777" w:rsidR="00062D14" w:rsidRDefault="00062D14" w:rsidP="00377F7E">
                      <w:r>
                        <w:rPr>
                          <w:b/>
                          <w:bCs/>
                        </w:rPr>
                        <w:t xml:space="preserve">2% growth after 2024: </w:t>
                      </w:r>
                      <w:r>
                        <w:t>This assumption implies that the real value of assets will see no growth. Without a radical disruption of the logistics industry, it seems likely that supply will continue to face physical and administrative constraints that stop it from matching e-commerce driven demand.  This is an issue of a fixed maximum supply that simply can’t expand fast enough to meet the unlimited potential growth of demand. Therefore we conclude that it is highly likely that our base case assumption is too conservative and the asset base will in fact see real appreciation in value.</w:t>
                      </w:r>
                    </w:p>
                    <w:p w14:paraId="0FC3E77A" w14:textId="77777777" w:rsidR="00062D14" w:rsidRDefault="00062D14" w:rsidP="00377F7E"/>
                    <w:p w14:paraId="6993E1C6" w14:textId="77777777" w:rsidR="00062D14" w:rsidRDefault="00062D14" w:rsidP="00377F7E">
                      <w:r>
                        <w:rPr>
                          <w:b/>
                          <w:bCs/>
                        </w:rPr>
                        <w:t>Future acquisitions are value neutral</w:t>
                      </w:r>
                      <w:r>
                        <w:t>: Management have to this point been able to leverage their industry experience and contacts to acquire properties at well below replacement cost. These acquisitions have continually been well executed and value accretive to shareholders. Therefore we believe it is particularly conservative to assume that, from this point onwards, management will be incapable of adding value to shareholders</w:t>
                      </w:r>
                    </w:p>
                    <w:p w14:paraId="694968D0" w14:textId="77777777" w:rsidR="00062D14" w:rsidRDefault="00062D14" w:rsidP="00377F7E"/>
                  </w:txbxContent>
                </v:textbox>
              </v:shape>
            </w:pict>
          </mc:Fallback>
        </mc:AlternateContent>
      </w:r>
      <w:r w:rsidR="003443BC">
        <w:rPr>
          <w:noProof/>
        </w:rPr>
        <mc:AlternateContent>
          <mc:Choice Requires="wps">
            <w:drawing>
              <wp:anchor distT="0" distB="0" distL="0" distR="0" simplePos="0" relativeHeight="251715072" behindDoc="1" locked="0" layoutInCell="0" allowOverlap="1" wp14:anchorId="285D166B" wp14:editId="1631E25D">
                <wp:simplePos x="0" y="0"/>
                <wp:positionH relativeFrom="page">
                  <wp:posOffset>2588</wp:posOffset>
                </wp:positionH>
                <wp:positionV relativeFrom="page">
                  <wp:posOffset>9519470</wp:posOffset>
                </wp:positionV>
                <wp:extent cx="6858000" cy="0"/>
                <wp:effectExtent l="0" t="0" r="0" b="0"/>
                <wp:wrapNone/>
                <wp:docPr id="80" name="drawingObject22"/>
                <wp:cNvGraphicFramePr/>
                <a:graphic xmlns:a="http://schemas.openxmlformats.org/drawingml/2006/main">
                  <a:graphicData uri="http://schemas.microsoft.com/office/word/2010/wordprocessingShape">
                    <wps:wsp>
                      <wps:cNvSpPr/>
                      <wps:spPr>
                        <a:xfrm>
                          <a:off x="0" y="0"/>
                          <a:ext cx="6858000" cy="0"/>
                        </a:xfrm>
                        <a:custGeom>
                          <a:avLst/>
                          <a:gdLst/>
                          <a:ahLst/>
                          <a:cxnLst/>
                          <a:rect l="0" t="0" r="0" b="0"/>
                          <a:pathLst>
                            <a:path w="6858000">
                              <a:moveTo>
                                <a:pt x="0" y="0"/>
                              </a:moveTo>
                              <a:lnTo>
                                <a:pt x="6858000" y="0"/>
                              </a:lnTo>
                            </a:path>
                          </a:pathLst>
                        </a:custGeom>
                        <a:noFill/>
                        <a:ln w="6350" cap="flat">
                          <a:solidFill>
                            <a:srgbClr val="1F4E79"/>
                          </a:solidFill>
                          <a:prstDash/>
                        </a:ln>
                      </wps:spPr>
                      <wps:bodyPr vertOverflow="overflow" horzOverflow="overflow" vert="horz" lIns="91440" tIns="45720" rIns="91440" bIns="45720" anchor="t"/>
                    </wps:wsp>
                  </a:graphicData>
                </a:graphic>
              </wp:anchor>
            </w:drawing>
          </mc:Choice>
          <mc:Fallback>
            <w:pict>
              <v:shape w14:anchorId="51C65DEE" id="drawingObject22" o:spid="_x0000_s1026" style="position:absolute;margin-left:.2pt;margin-top:749.55pt;width:540pt;height:0;z-index:-251601408;visibility:visible;mso-wrap-style:square;mso-wrap-distance-left:0;mso-wrap-distance-top:0;mso-wrap-distance-right:0;mso-wrap-distance-bottom:0;mso-position-horizontal:absolute;mso-position-horizontal-relative:page;mso-position-vertical:absolute;mso-position-vertical-relative:page;v-text-anchor:top" coordsize="6858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" o:allowincell="f" path="m,l6858000,e" filled="f" strokecolor="#1f4e79" strokeweight=".5pt">
                <v:path arrowok="t" textboxrect="0,0,6858000,0"/>
                <w10:wrap anchorx="page" anchory="page"/>
              </v:shape>
            </w:pict>
          </mc:Fallback>
        </mc:AlternateContent>
      </w:r>
    </w:p>
    <w:p w14:paraId="27B3F236" w14:textId="77777777" w:rsidR="00901EB5" w:rsidRPr="00377F7E" w:rsidRDefault="00501518" w:rsidP="00377F7E">
      <w:pPr>
        <w:ind w:right="-20"/>
        <w:rPr>
          <w:rFonts w:ascii="Calibri" w:eastAsia="Calibri" w:hAnsi="Calibri" w:cs="Calibri"/>
          <w:b/>
          <w:bCs/>
          <w:color w:val="7030A0"/>
          <w:sz w:val="36"/>
          <w:szCs w:val="36"/>
        </w:rPr>
      </w:pPr>
      <w:r w:rsidRPr="006103C6">
        <w:rPr>
          <w:rFonts w:ascii="Times New Roman" w:eastAsia="Times New Roman" w:hAnsi="Times New Roman" w:cs="Times New Roman"/>
          <w:noProof/>
        </w:rPr>
        <w:lastRenderedPageBreak/>
        <w:drawing>
          <wp:anchor distT="0" distB="0" distL="114300" distR="114300" simplePos="0" relativeHeight="251705856" behindDoc="0" locked="0" layoutInCell="1" allowOverlap="1" wp14:anchorId="12C5B4F2" wp14:editId="45BB735E">
            <wp:simplePos x="0" y="0"/>
            <wp:positionH relativeFrom="column">
              <wp:posOffset>3993266</wp:posOffset>
            </wp:positionH>
            <wp:positionV relativeFrom="paragraph">
              <wp:posOffset>418</wp:posOffset>
            </wp:positionV>
            <wp:extent cx="2325370" cy="361950"/>
            <wp:effectExtent l="0" t="0" r="0" b="6350"/>
            <wp:wrapSquare wrapText="bothSides"/>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5370"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008B48BC">
        <w:rPr>
          <w:rFonts w:ascii="Calibri" w:eastAsia="Calibri" w:hAnsi="Calibri" w:cs="Calibri"/>
          <w:b/>
          <w:bCs/>
          <w:i/>
          <w:iCs/>
          <w:color w:val="44546A"/>
          <w:sz w:val="36"/>
          <w:szCs w:val="36"/>
        </w:rPr>
        <w:t>Valuation</w:t>
      </w:r>
      <w:r w:rsidR="00377F7E">
        <w:rPr>
          <w:rFonts w:ascii="Calibri" w:eastAsia="Calibri" w:hAnsi="Calibri" w:cs="Calibri"/>
          <w:b/>
          <w:bCs/>
          <w:i/>
          <w:iCs/>
          <w:color w:val="44546A"/>
          <w:sz w:val="36"/>
          <w:szCs w:val="36"/>
        </w:rPr>
        <w:t xml:space="preserve"> Results</w:t>
      </w:r>
    </w:p>
    <w:p w14:paraId="3D5FDBD5" w14:textId="77777777" w:rsidR="009A4B6B" w:rsidRDefault="009A4B6B">
      <w:pPr>
        <w:spacing w:line="240" w:lineRule="exact"/>
        <w:rPr>
          <w:rFonts w:ascii="Calibri" w:eastAsia="Calibri" w:hAnsi="Calibri" w:cs="Calibri"/>
          <w:b/>
          <w:bCs/>
        </w:rPr>
      </w:pPr>
    </w:p>
    <w:p w14:paraId="21814888" w14:textId="77777777" w:rsidR="00901EB5" w:rsidRDefault="004D6AAA">
      <w:pPr>
        <w:spacing w:line="240" w:lineRule="exact"/>
        <w:rPr>
          <w:rFonts w:ascii="Calibri" w:eastAsia="Calibri" w:hAnsi="Calibri" w:cs="Calibri"/>
          <w:b/>
          <w:bCs/>
        </w:rPr>
      </w:pPr>
      <w:r>
        <w:rPr>
          <w:rFonts w:ascii="Calibri" w:eastAsia="Calibri" w:hAnsi="Calibri" w:cs="Calibri"/>
          <w:b/>
          <w:bCs/>
        </w:rPr>
        <w:t>Base Case:</w:t>
      </w:r>
    </w:p>
    <w:p w14:paraId="77C84E30" w14:textId="77777777" w:rsidR="004D6AAA" w:rsidRDefault="004D6AAA">
      <w:pPr>
        <w:spacing w:line="240" w:lineRule="exact"/>
        <w:rPr>
          <w:rFonts w:ascii="Calibri" w:eastAsia="Calibri" w:hAnsi="Calibri" w:cs="Calibri"/>
          <w:b/>
          <w:bCs/>
        </w:rPr>
      </w:pPr>
    </w:p>
    <w:p w14:paraId="5A6C7DE6" w14:textId="77777777" w:rsidR="00901EB5" w:rsidRDefault="004D6AAA">
      <w:pPr>
        <w:spacing w:line="240" w:lineRule="exact"/>
        <w:rPr>
          <w:rFonts w:ascii="Calibri" w:eastAsia="Calibri" w:hAnsi="Calibri" w:cs="Calibri"/>
        </w:rPr>
      </w:pPr>
      <w:r>
        <w:rPr>
          <w:rFonts w:ascii="Calibri" w:eastAsia="Calibri" w:hAnsi="Calibri" w:cs="Calibri"/>
        </w:rPr>
        <w:t>We believe that our base case is a conservative starting point. As previously explained it assumes</w:t>
      </w:r>
      <w:r w:rsidR="00953421">
        <w:rPr>
          <w:rFonts w:ascii="Calibri" w:eastAsia="Calibri" w:hAnsi="Calibri" w:cs="Calibri"/>
        </w:rPr>
        <w:t xml:space="preserve"> net income will represent 4% of asset value annually</w:t>
      </w:r>
      <w:r>
        <w:rPr>
          <w:rFonts w:ascii="Calibri" w:eastAsia="Calibri" w:hAnsi="Calibri" w:cs="Calibri"/>
        </w:rPr>
        <w:t>, 1.75% asset base growth until 2024, and 2% growth after 2024.</w:t>
      </w:r>
      <w:r w:rsidR="004A6315">
        <w:rPr>
          <w:rFonts w:ascii="Calibri" w:eastAsia="Calibri" w:hAnsi="Calibri" w:cs="Calibri"/>
        </w:rPr>
        <w:t xml:space="preserve"> The gain in th</w:t>
      </w:r>
      <w:r w:rsidR="00C32757">
        <w:rPr>
          <w:rFonts w:ascii="Calibri" w:eastAsia="Calibri" w:hAnsi="Calibri" w:cs="Calibri"/>
        </w:rPr>
        <w:t>is</w:t>
      </w:r>
      <w:r w:rsidR="004A6315">
        <w:rPr>
          <w:rFonts w:ascii="Calibri" w:eastAsia="Calibri" w:hAnsi="Calibri" w:cs="Calibri"/>
        </w:rPr>
        <w:t xml:space="preserve"> scenario is 44%</w:t>
      </w:r>
      <w:r w:rsidR="00C32757">
        <w:rPr>
          <w:rFonts w:ascii="Calibri" w:eastAsia="Calibri" w:hAnsi="Calibri" w:cs="Calibri"/>
        </w:rPr>
        <w:t>.</w:t>
      </w:r>
    </w:p>
    <w:p w14:paraId="0F26C124" w14:textId="77777777" w:rsidR="004A6315" w:rsidRDefault="004A6315">
      <w:pPr>
        <w:spacing w:line="240" w:lineRule="exact"/>
        <w:rPr>
          <w:rFonts w:ascii="Calibri" w:eastAsia="Calibri" w:hAnsi="Calibri" w:cs="Calibri"/>
        </w:rPr>
      </w:pPr>
    </w:p>
    <w:p w14:paraId="5CCC3AB9" w14:textId="77777777" w:rsidR="004A6315" w:rsidRDefault="004A6315">
      <w:pPr>
        <w:spacing w:line="240" w:lineRule="exact"/>
        <w:rPr>
          <w:rFonts w:ascii="Calibri" w:eastAsia="Calibri" w:hAnsi="Calibri" w:cs="Calibri"/>
          <w:b/>
          <w:bCs/>
        </w:rPr>
      </w:pPr>
      <w:r>
        <w:rPr>
          <w:rFonts w:ascii="Calibri" w:eastAsia="Calibri" w:hAnsi="Calibri" w:cs="Calibri"/>
          <w:b/>
          <w:bCs/>
        </w:rPr>
        <w:t>Super Bear</w:t>
      </w:r>
      <w:r w:rsidR="005E25A4">
        <w:rPr>
          <w:rFonts w:ascii="Calibri" w:eastAsia="Calibri" w:hAnsi="Calibri" w:cs="Calibri"/>
          <w:b/>
          <w:bCs/>
        </w:rPr>
        <w:t>:</w:t>
      </w:r>
    </w:p>
    <w:p w14:paraId="21F5B156" w14:textId="77777777" w:rsidR="005A478A" w:rsidRDefault="005A478A">
      <w:pPr>
        <w:spacing w:line="240" w:lineRule="exact"/>
        <w:rPr>
          <w:rFonts w:ascii="Calibri" w:eastAsia="Calibri" w:hAnsi="Calibri" w:cs="Calibri"/>
          <w:b/>
          <w:bCs/>
        </w:rPr>
      </w:pPr>
    </w:p>
    <w:p w14:paraId="69A0F9D2" w14:textId="77777777" w:rsidR="004A6315" w:rsidRDefault="004A6315">
      <w:pPr>
        <w:spacing w:line="240" w:lineRule="exact"/>
        <w:rPr>
          <w:rFonts w:ascii="Calibri" w:eastAsia="Calibri" w:hAnsi="Calibri" w:cs="Calibri"/>
        </w:rPr>
      </w:pPr>
      <w:r>
        <w:rPr>
          <w:rFonts w:ascii="Calibri" w:eastAsia="Calibri" w:hAnsi="Calibri" w:cs="Calibri"/>
        </w:rPr>
        <w:t>This is a worst case scenario which assumes</w:t>
      </w:r>
      <w:r w:rsidR="00953421">
        <w:rPr>
          <w:rFonts w:ascii="Calibri" w:eastAsia="Calibri" w:hAnsi="Calibri" w:cs="Calibri"/>
        </w:rPr>
        <w:t xml:space="preserve"> net income will fall to 3% of asset value annually</w:t>
      </w:r>
      <w:r>
        <w:rPr>
          <w:rFonts w:ascii="Calibri" w:eastAsia="Calibri" w:hAnsi="Calibri" w:cs="Calibri"/>
        </w:rPr>
        <w:t xml:space="preserve">, 1.75% asset base growth until 2024, and no </w:t>
      </w:r>
      <w:r w:rsidR="00EF5115">
        <w:rPr>
          <w:rFonts w:ascii="Calibri" w:eastAsia="Calibri" w:hAnsi="Calibri" w:cs="Calibri"/>
        </w:rPr>
        <w:t xml:space="preserve">nominal </w:t>
      </w:r>
      <w:r>
        <w:rPr>
          <w:rFonts w:ascii="Calibri" w:eastAsia="Calibri" w:hAnsi="Calibri" w:cs="Calibri"/>
        </w:rPr>
        <w:t>growth after 2024. The loss in this scenario is 28%</w:t>
      </w:r>
      <w:r w:rsidR="00C32757">
        <w:rPr>
          <w:rFonts w:ascii="Calibri" w:eastAsia="Calibri" w:hAnsi="Calibri" w:cs="Calibri"/>
        </w:rPr>
        <w:t>.</w:t>
      </w:r>
    </w:p>
    <w:p w14:paraId="5F9CD55D" w14:textId="77777777" w:rsidR="004A6315" w:rsidRDefault="004A6315">
      <w:pPr>
        <w:spacing w:line="240" w:lineRule="exact"/>
        <w:rPr>
          <w:rFonts w:ascii="Calibri" w:eastAsia="Calibri" w:hAnsi="Calibri" w:cs="Calibri"/>
        </w:rPr>
      </w:pPr>
    </w:p>
    <w:p w14:paraId="1EB23617" w14:textId="77777777" w:rsidR="004A6315" w:rsidRDefault="004A6315">
      <w:pPr>
        <w:spacing w:line="240" w:lineRule="exact"/>
        <w:rPr>
          <w:rFonts w:ascii="Calibri" w:eastAsia="Calibri" w:hAnsi="Calibri" w:cs="Calibri"/>
          <w:b/>
          <w:bCs/>
        </w:rPr>
      </w:pPr>
      <w:r>
        <w:rPr>
          <w:rFonts w:ascii="Calibri" w:eastAsia="Calibri" w:hAnsi="Calibri" w:cs="Calibri"/>
          <w:b/>
          <w:bCs/>
        </w:rPr>
        <w:t>Bear:</w:t>
      </w:r>
    </w:p>
    <w:p w14:paraId="35D1DA03" w14:textId="77777777" w:rsidR="004A6315" w:rsidRDefault="004A6315">
      <w:pPr>
        <w:spacing w:line="240" w:lineRule="exact"/>
        <w:rPr>
          <w:rFonts w:ascii="Calibri" w:eastAsia="Calibri" w:hAnsi="Calibri" w:cs="Calibri"/>
          <w:b/>
          <w:bCs/>
        </w:rPr>
      </w:pPr>
    </w:p>
    <w:p w14:paraId="4EA56DC5" w14:textId="77777777" w:rsidR="004A6315" w:rsidRDefault="004A6315">
      <w:pPr>
        <w:spacing w:line="240" w:lineRule="exact"/>
        <w:rPr>
          <w:rFonts w:ascii="Calibri" w:eastAsia="Calibri" w:hAnsi="Calibri" w:cs="Calibri"/>
        </w:rPr>
      </w:pPr>
      <w:r>
        <w:rPr>
          <w:rFonts w:ascii="Calibri" w:eastAsia="Calibri" w:hAnsi="Calibri" w:cs="Calibri"/>
        </w:rPr>
        <w:t xml:space="preserve">The bear scenario assumes that </w:t>
      </w:r>
      <w:r w:rsidR="00953421">
        <w:rPr>
          <w:rFonts w:ascii="Calibri" w:eastAsia="Calibri" w:hAnsi="Calibri" w:cs="Calibri"/>
        </w:rPr>
        <w:t xml:space="preserve">net income remains at </w:t>
      </w:r>
      <w:r>
        <w:rPr>
          <w:rFonts w:ascii="Calibri" w:eastAsia="Calibri" w:hAnsi="Calibri" w:cs="Calibri"/>
        </w:rPr>
        <w:t>4%</w:t>
      </w:r>
      <w:r w:rsidR="00953421">
        <w:rPr>
          <w:rFonts w:ascii="Calibri" w:eastAsia="Calibri" w:hAnsi="Calibri" w:cs="Calibri"/>
        </w:rPr>
        <w:t xml:space="preserve"> of asset value</w:t>
      </w:r>
      <w:r>
        <w:rPr>
          <w:rFonts w:ascii="Calibri" w:eastAsia="Calibri" w:hAnsi="Calibri" w:cs="Calibri"/>
        </w:rPr>
        <w:t>, 1.75% asset base growth until 2024, and no growth at all after 2024. The loss in this scenario is 4%</w:t>
      </w:r>
      <w:r w:rsidR="00C32757">
        <w:rPr>
          <w:rFonts w:ascii="Calibri" w:eastAsia="Calibri" w:hAnsi="Calibri" w:cs="Calibri"/>
        </w:rPr>
        <w:t>.</w:t>
      </w:r>
    </w:p>
    <w:p w14:paraId="3B70FFC0" w14:textId="77777777" w:rsidR="004A6315" w:rsidRDefault="004A6315">
      <w:pPr>
        <w:spacing w:line="240" w:lineRule="exact"/>
        <w:rPr>
          <w:rFonts w:ascii="Calibri" w:eastAsia="Calibri" w:hAnsi="Calibri" w:cs="Calibri"/>
        </w:rPr>
      </w:pPr>
    </w:p>
    <w:p w14:paraId="791032C7" w14:textId="77777777" w:rsidR="004A6315" w:rsidRDefault="004A6315">
      <w:pPr>
        <w:spacing w:line="240" w:lineRule="exact"/>
        <w:rPr>
          <w:rFonts w:ascii="Calibri" w:eastAsia="Calibri" w:hAnsi="Calibri" w:cs="Calibri"/>
          <w:b/>
          <w:bCs/>
        </w:rPr>
      </w:pPr>
      <w:r>
        <w:rPr>
          <w:rFonts w:ascii="Calibri" w:eastAsia="Calibri" w:hAnsi="Calibri" w:cs="Calibri"/>
          <w:b/>
          <w:bCs/>
        </w:rPr>
        <w:t>Bull:</w:t>
      </w:r>
    </w:p>
    <w:p w14:paraId="7D78E7D0" w14:textId="77777777" w:rsidR="004A6315" w:rsidRDefault="004A6315">
      <w:pPr>
        <w:spacing w:line="240" w:lineRule="exact"/>
        <w:rPr>
          <w:rFonts w:ascii="Calibri" w:eastAsia="Calibri" w:hAnsi="Calibri" w:cs="Calibri"/>
          <w:b/>
          <w:bCs/>
        </w:rPr>
      </w:pPr>
    </w:p>
    <w:p w14:paraId="22620994" w14:textId="77777777" w:rsidR="004A6315" w:rsidRDefault="004A6315">
      <w:pPr>
        <w:spacing w:line="240" w:lineRule="exact"/>
        <w:rPr>
          <w:rFonts w:ascii="Calibri" w:eastAsia="Calibri" w:hAnsi="Calibri" w:cs="Calibri"/>
        </w:rPr>
      </w:pPr>
      <w:r>
        <w:rPr>
          <w:rFonts w:ascii="Calibri" w:eastAsia="Calibri" w:hAnsi="Calibri" w:cs="Calibri"/>
        </w:rPr>
        <w:t xml:space="preserve">The bull scenario assumes </w:t>
      </w:r>
      <w:r w:rsidR="00953421">
        <w:rPr>
          <w:rFonts w:ascii="Calibri" w:eastAsia="Calibri" w:hAnsi="Calibri" w:cs="Calibri"/>
        </w:rPr>
        <w:t>net income remains at 4% of asset value</w:t>
      </w:r>
      <w:r>
        <w:rPr>
          <w:rFonts w:ascii="Calibri" w:eastAsia="Calibri" w:hAnsi="Calibri" w:cs="Calibri"/>
        </w:rPr>
        <w:t>, 1.75% asset base growth until 2024, and 3% growth after 2024. The gain in this scenario is 100%</w:t>
      </w:r>
      <w:r w:rsidR="00C32757">
        <w:rPr>
          <w:rFonts w:ascii="Calibri" w:eastAsia="Calibri" w:hAnsi="Calibri" w:cs="Calibri"/>
        </w:rPr>
        <w:t>.</w:t>
      </w:r>
    </w:p>
    <w:p w14:paraId="261645B7" w14:textId="77777777" w:rsidR="004A6315" w:rsidRDefault="004A6315">
      <w:pPr>
        <w:spacing w:line="240" w:lineRule="exact"/>
        <w:rPr>
          <w:rFonts w:ascii="Calibri" w:eastAsia="Calibri" w:hAnsi="Calibri" w:cs="Calibri"/>
        </w:rPr>
      </w:pPr>
    </w:p>
    <w:p w14:paraId="3F7D33E1" w14:textId="77777777" w:rsidR="004A6315" w:rsidRDefault="004A6315">
      <w:pPr>
        <w:spacing w:line="240" w:lineRule="exact"/>
        <w:rPr>
          <w:rFonts w:ascii="Calibri" w:eastAsia="Calibri" w:hAnsi="Calibri" w:cs="Calibri"/>
          <w:b/>
          <w:bCs/>
        </w:rPr>
      </w:pPr>
      <w:r>
        <w:rPr>
          <w:rFonts w:ascii="Calibri" w:eastAsia="Calibri" w:hAnsi="Calibri" w:cs="Calibri"/>
          <w:b/>
          <w:bCs/>
        </w:rPr>
        <w:t>Super Bull:</w:t>
      </w:r>
    </w:p>
    <w:p w14:paraId="413C13A2" w14:textId="77777777" w:rsidR="004A6315" w:rsidRDefault="004A6315">
      <w:pPr>
        <w:spacing w:line="240" w:lineRule="exact"/>
        <w:rPr>
          <w:rFonts w:ascii="Calibri" w:eastAsia="Calibri" w:hAnsi="Calibri" w:cs="Calibri"/>
          <w:b/>
          <w:bCs/>
        </w:rPr>
      </w:pPr>
    </w:p>
    <w:p w14:paraId="38C9FFF9" w14:textId="77777777" w:rsidR="004A6315" w:rsidRDefault="004A6315">
      <w:pPr>
        <w:spacing w:line="240" w:lineRule="exact"/>
        <w:rPr>
          <w:rFonts w:ascii="Calibri" w:eastAsia="Calibri" w:hAnsi="Calibri" w:cs="Calibri"/>
        </w:rPr>
      </w:pPr>
      <w:r>
        <w:rPr>
          <w:rFonts w:ascii="Calibri" w:eastAsia="Calibri" w:hAnsi="Calibri" w:cs="Calibri"/>
        </w:rPr>
        <w:t xml:space="preserve">This is a best case scenario which assumes </w:t>
      </w:r>
      <w:r w:rsidR="00953421">
        <w:rPr>
          <w:rFonts w:ascii="Calibri" w:eastAsia="Calibri" w:hAnsi="Calibri" w:cs="Calibri"/>
        </w:rPr>
        <w:t xml:space="preserve">net income increases to 5% of asset value, </w:t>
      </w:r>
      <w:r>
        <w:rPr>
          <w:rFonts w:ascii="Calibri" w:eastAsia="Calibri" w:hAnsi="Calibri" w:cs="Calibri"/>
        </w:rPr>
        <w:t xml:space="preserve">1.75% asset base growth until 2024, and </w:t>
      </w:r>
      <w:r w:rsidR="005E25A4">
        <w:rPr>
          <w:rFonts w:ascii="Calibri" w:eastAsia="Calibri" w:hAnsi="Calibri" w:cs="Calibri"/>
        </w:rPr>
        <w:t>3</w:t>
      </w:r>
      <w:r>
        <w:rPr>
          <w:rFonts w:ascii="Calibri" w:eastAsia="Calibri" w:hAnsi="Calibri" w:cs="Calibri"/>
        </w:rPr>
        <w:t>% growth after 2024. The gain in this scenario is 150%</w:t>
      </w:r>
      <w:r w:rsidR="00C32757">
        <w:rPr>
          <w:rFonts w:ascii="Calibri" w:eastAsia="Calibri" w:hAnsi="Calibri" w:cs="Calibri"/>
        </w:rPr>
        <w:t>.</w:t>
      </w:r>
    </w:p>
    <w:p w14:paraId="386DD04B" w14:textId="77777777" w:rsidR="00491E48" w:rsidRPr="00491E48" w:rsidRDefault="00491E48" w:rsidP="00491E48">
      <w:pPr>
        <w:rPr>
          <w:rFonts w:ascii="Calibri" w:eastAsia="Calibri" w:hAnsi="Calibri" w:cs="Calibri"/>
        </w:rPr>
      </w:pPr>
    </w:p>
    <w:p w14:paraId="67DCA91B" w14:textId="77777777" w:rsidR="00491E48" w:rsidRDefault="00491E48" w:rsidP="00491E48">
      <w:pPr>
        <w:spacing w:line="240" w:lineRule="exact"/>
        <w:rPr>
          <w:rFonts w:ascii="Calibri" w:eastAsia="Calibri" w:hAnsi="Calibri" w:cs="Calibri"/>
        </w:rPr>
      </w:pPr>
    </w:p>
    <w:tbl>
      <w:tblPr>
        <w:tblStyle w:val="TableGrid"/>
        <w:tblW w:w="0" w:type="auto"/>
        <w:tblLook w:val="04A0" w:firstRow="1" w:lastRow="0" w:firstColumn="1" w:lastColumn="0" w:noHBand="0" w:noVBand="1"/>
      </w:tblPr>
      <w:tblGrid>
        <w:gridCol w:w="3267"/>
        <w:gridCol w:w="3267"/>
        <w:gridCol w:w="3267"/>
      </w:tblGrid>
      <w:tr w:rsidR="00491E48" w14:paraId="6369489F" w14:textId="77777777" w:rsidTr="00AC0E87">
        <w:tc>
          <w:tcPr>
            <w:tcW w:w="3267" w:type="dxa"/>
          </w:tcPr>
          <w:p w14:paraId="1750652D" w14:textId="77777777" w:rsidR="00491E48" w:rsidRPr="004D6AAA" w:rsidRDefault="00491E48" w:rsidP="00AC0E87">
            <w:pPr>
              <w:spacing w:line="240" w:lineRule="exact"/>
              <w:rPr>
                <w:rFonts w:ascii="Calibri" w:eastAsia="Calibri" w:hAnsi="Calibri" w:cs="Calibri"/>
                <w:b/>
                <w:bCs/>
              </w:rPr>
            </w:pPr>
            <w:r>
              <w:rPr>
                <w:rFonts w:ascii="Calibri" w:eastAsia="Calibri" w:hAnsi="Calibri" w:cs="Calibri"/>
                <w:b/>
                <w:bCs/>
              </w:rPr>
              <w:t>Case</w:t>
            </w:r>
          </w:p>
        </w:tc>
        <w:tc>
          <w:tcPr>
            <w:tcW w:w="3267" w:type="dxa"/>
          </w:tcPr>
          <w:p w14:paraId="02462633" w14:textId="77777777" w:rsidR="00491E48" w:rsidRPr="004D6AAA" w:rsidRDefault="00491E48" w:rsidP="00AC0E87">
            <w:pPr>
              <w:spacing w:line="240" w:lineRule="exact"/>
              <w:rPr>
                <w:rFonts w:ascii="Calibri" w:eastAsia="Calibri" w:hAnsi="Calibri" w:cs="Calibri"/>
                <w:b/>
                <w:bCs/>
              </w:rPr>
            </w:pPr>
            <w:r>
              <w:rPr>
                <w:rFonts w:ascii="Calibri" w:eastAsia="Calibri" w:hAnsi="Calibri" w:cs="Calibri"/>
                <w:b/>
                <w:bCs/>
              </w:rPr>
              <w:t>Implied Value</w:t>
            </w:r>
          </w:p>
        </w:tc>
        <w:tc>
          <w:tcPr>
            <w:tcW w:w="3267" w:type="dxa"/>
          </w:tcPr>
          <w:p w14:paraId="58342481" w14:textId="77777777" w:rsidR="00491E48" w:rsidRPr="004D6AAA" w:rsidRDefault="00491E48" w:rsidP="00AC0E87">
            <w:pPr>
              <w:spacing w:line="240" w:lineRule="exact"/>
              <w:rPr>
                <w:rFonts w:ascii="Calibri" w:eastAsia="Calibri" w:hAnsi="Calibri" w:cs="Calibri"/>
                <w:b/>
                <w:bCs/>
              </w:rPr>
            </w:pPr>
            <w:r>
              <w:rPr>
                <w:rFonts w:ascii="Calibri" w:eastAsia="Calibri" w:hAnsi="Calibri" w:cs="Calibri"/>
                <w:b/>
                <w:bCs/>
              </w:rPr>
              <w:t>Margin of Safety</w:t>
            </w:r>
          </w:p>
        </w:tc>
      </w:tr>
      <w:tr w:rsidR="00491E48" w14:paraId="33C0D434" w14:textId="77777777" w:rsidTr="00AC0E87">
        <w:tc>
          <w:tcPr>
            <w:tcW w:w="3267" w:type="dxa"/>
          </w:tcPr>
          <w:p w14:paraId="5913F1D9" w14:textId="77777777" w:rsidR="00491E48" w:rsidRDefault="00491E48" w:rsidP="00AC0E87">
            <w:pPr>
              <w:spacing w:line="240" w:lineRule="exact"/>
              <w:rPr>
                <w:rFonts w:ascii="Calibri" w:eastAsia="Calibri" w:hAnsi="Calibri" w:cs="Calibri"/>
              </w:rPr>
            </w:pPr>
            <w:r>
              <w:rPr>
                <w:rFonts w:ascii="Calibri" w:eastAsia="Calibri" w:hAnsi="Calibri" w:cs="Calibri"/>
              </w:rPr>
              <w:t>Super Bear</w:t>
            </w:r>
          </w:p>
        </w:tc>
        <w:tc>
          <w:tcPr>
            <w:tcW w:w="3267" w:type="dxa"/>
          </w:tcPr>
          <w:p w14:paraId="6D31F5DC" w14:textId="77777777" w:rsidR="00491E48" w:rsidRDefault="00491E48" w:rsidP="00AC0E87">
            <w:pPr>
              <w:spacing w:line="240" w:lineRule="exact"/>
              <w:rPr>
                <w:rFonts w:ascii="Calibri" w:eastAsia="Calibri" w:hAnsi="Calibri" w:cs="Calibri"/>
              </w:rPr>
            </w:pPr>
            <w:r>
              <w:rPr>
                <w:rFonts w:ascii="Calibri" w:eastAsia="Calibri" w:hAnsi="Calibri" w:cs="Calibri"/>
              </w:rPr>
              <w:t>£1.04</w:t>
            </w:r>
          </w:p>
        </w:tc>
        <w:tc>
          <w:tcPr>
            <w:tcW w:w="3267" w:type="dxa"/>
          </w:tcPr>
          <w:p w14:paraId="30B1E592" w14:textId="77777777" w:rsidR="00491E48" w:rsidRDefault="00491E48" w:rsidP="00AC0E87">
            <w:pPr>
              <w:spacing w:line="240" w:lineRule="exact"/>
              <w:rPr>
                <w:rFonts w:ascii="Calibri" w:eastAsia="Calibri" w:hAnsi="Calibri" w:cs="Calibri"/>
              </w:rPr>
            </w:pPr>
            <w:r>
              <w:rPr>
                <w:rFonts w:ascii="Calibri" w:eastAsia="Calibri" w:hAnsi="Calibri" w:cs="Calibri"/>
              </w:rPr>
              <w:t>-28%</w:t>
            </w:r>
          </w:p>
        </w:tc>
      </w:tr>
      <w:tr w:rsidR="00491E48" w14:paraId="55D28FC9" w14:textId="77777777" w:rsidTr="00AC0E87">
        <w:tc>
          <w:tcPr>
            <w:tcW w:w="3267" w:type="dxa"/>
          </w:tcPr>
          <w:p w14:paraId="07999148" w14:textId="77777777" w:rsidR="00491E48" w:rsidRDefault="00491E48" w:rsidP="00AC0E87">
            <w:pPr>
              <w:spacing w:line="240" w:lineRule="exact"/>
              <w:rPr>
                <w:rFonts w:ascii="Calibri" w:eastAsia="Calibri" w:hAnsi="Calibri" w:cs="Calibri"/>
              </w:rPr>
            </w:pPr>
            <w:r>
              <w:rPr>
                <w:rFonts w:ascii="Calibri" w:eastAsia="Calibri" w:hAnsi="Calibri" w:cs="Calibri"/>
              </w:rPr>
              <w:t>Bear</w:t>
            </w:r>
          </w:p>
        </w:tc>
        <w:tc>
          <w:tcPr>
            <w:tcW w:w="3267" w:type="dxa"/>
          </w:tcPr>
          <w:p w14:paraId="29672816" w14:textId="77777777" w:rsidR="00491E48" w:rsidRDefault="00491E48" w:rsidP="00AC0E87">
            <w:pPr>
              <w:spacing w:line="240" w:lineRule="exact"/>
              <w:rPr>
                <w:rFonts w:ascii="Calibri" w:eastAsia="Calibri" w:hAnsi="Calibri" w:cs="Calibri"/>
              </w:rPr>
            </w:pPr>
            <w:r>
              <w:rPr>
                <w:rFonts w:ascii="Calibri" w:eastAsia="Calibri" w:hAnsi="Calibri" w:cs="Calibri"/>
              </w:rPr>
              <w:t>£1.39</w:t>
            </w:r>
          </w:p>
        </w:tc>
        <w:tc>
          <w:tcPr>
            <w:tcW w:w="3267" w:type="dxa"/>
          </w:tcPr>
          <w:p w14:paraId="75799EEB" w14:textId="77777777" w:rsidR="00491E48" w:rsidRDefault="00491E48" w:rsidP="00AC0E87">
            <w:pPr>
              <w:spacing w:line="240" w:lineRule="exact"/>
              <w:rPr>
                <w:rFonts w:ascii="Calibri" w:eastAsia="Calibri" w:hAnsi="Calibri" w:cs="Calibri"/>
              </w:rPr>
            </w:pPr>
            <w:r>
              <w:rPr>
                <w:rFonts w:ascii="Calibri" w:eastAsia="Calibri" w:hAnsi="Calibri" w:cs="Calibri"/>
              </w:rPr>
              <w:t>-4%</w:t>
            </w:r>
          </w:p>
        </w:tc>
      </w:tr>
      <w:tr w:rsidR="00491E48" w14:paraId="723E9D04" w14:textId="77777777" w:rsidTr="00AC0E87">
        <w:tc>
          <w:tcPr>
            <w:tcW w:w="3267" w:type="dxa"/>
          </w:tcPr>
          <w:p w14:paraId="09E2F9F3" w14:textId="77777777" w:rsidR="00491E48" w:rsidRDefault="00491E48" w:rsidP="00AC0E87">
            <w:pPr>
              <w:spacing w:line="240" w:lineRule="exact"/>
              <w:rPr>
                <w:rFonts w:ascii="Calibri" w:eastAsia="Calibri" w:hAnsi="Calibri" w:cs="Calibri"/>
              </w:rPr>
            </w:pPr>
            <w:r>
              <w:rPr>
                <w:rFonts w:ascii="Calibri" w:eastAsia="Calibri" w:hAnsi="Calibri" w:cs="Calibri"/>
              </w:rPr>
              <w:t>Base</w:t>
            </w:r>
          </w:p>
        </w:tc>
        <w:tc>
          <w:tcPr>
            <w:tcW w:w="3267" w:type="dxa"/>
          </w:tcPr>
          <w:p w14:paraId="639B9047" w14:textId="77777777" w:rsidR="00491E48" w:rsidRDefault="00491E48" w:rsidP="00AC0E87">
            <w:pPr>
              <w:spacing w:line="240" w:lineRule="exact"/>
              <w:rPr>
                <w:rFonts w:ascii="Calibri" w:eastAsia="Calibri" w:hAnsi="Calibri" w:cs="Calibri"/>
              </w:rPr>
            </w:pPr>
            <w:r>
              <w:rPr>
                <w:rFonts w:ascii="Calibri" w:eastAsia="Calibri" w:hAnsi="Calibri" w:cs="Calibri"/>
              </w:rPr>
              <w:t>£2.08</w:t>
            </w:r>
          </w:p>
        </w:tc>
        <w:tc>
          <w:tcPr>
            <w:tcW w:w="3267" w:type="dxa"/>
          </w:tcPr>
          <w:p w14:paraId="61FAEC0D" w14:textId="77777777" w:rsidR="00491E48" w:rsidRDefault="00491E48" w:rsidP="00AC0E87">
            <w:pPr>
              <w:spacing w:line="240" w:lineRule="exact"/>
              <w:rPr>
                <w:rFonts w:ascii="Calibri" w:eastAsia="Calibri" w:hAnsi="Calibri" w:cs="Calibri"/>
              </w:rPr>
            </w:pPr>
            <w:r>
              <w:rPr>
                <w:rFonts w:ascii="Calibri" w:eastAsia="Calibri" w:hAnsi="Calibri" w:cs="Calibri"/>
              </w:rPr>
              <w:t>44%</w:t>
            </w:r>
          </w:p>
        </w:tc>
      </w:tr>
      <w:tr w:rsidR="00491E48" w14:paraId="681FD1E3" w14:textId="77777777" w:rsidTr="00AC0E87">
        <w:tc>
          <w:tcPr>
            <w:tcW w:w="3267" w:type="dxa"/>
          </w:tcPr>
          <w:p w14:paraId="671A8AAD" w14:textId="77777777" w:rsidR="00491E48" w:rsidRDefault="00491E48" w:rsidP="00AC0E87">
            <w:pPr>
              <w:spacing w:line="240" w:lineRule="exact"/>
              <w:rPr>
                <w:rFonts w:ascii="Calibri" w:eastAsia="Calibri" w:hAnsi="Calibri" w:cs="Calibri"/>
              </w:rPr>
            </w:pPr>
            <w:r>
              <w:rPr>
                <w:rFonts w:ascii="Calibri" w:eastAsia="Calibri" w:hAnsi="Calibri" w:cs="Calibri"/>
              </w:rPr>
              <w:t>Bull</w:t>
            </w:r>
          </w:p>
        </w:tc>
        <w:tc>
          <w:tcPr>
            <w:tcW w:w="3267" w:type="dxa"/>
          </w:tcPr>
          <w:p w14:paraId="0047022B" w14:textId="77777777" w:rsidR="00491E48" w:rsidRDefault="00491E48" w:rsidP="00AC0E87">
            <w:pPr>
              <w:spacing w:line="240" w:lineRule="exact"/>
              <w:rPr>
                <w:rFonts w:ascii="Calibri" w:eastAsia="Calibri" w:hAnsi="Calibri" w:cs="Calibri"/>
              </w:rPr>
            </w:pPr>
            <w:r>
              <w:rPr>
                <w:rFonts w:ascii="Calibri" w:eastAsia="Calibri" w:hAnsi="Calibri" w:cs="Calibri"/>
              </w:rPr>
              <w:t>£2.90</w:t>
            </w:r>
          </w:p>
        </w:tc>
        <w:tc>
          <w:tcPr>
            <w:tcW w:w="3267" w:type="dxa"/>
          </w:tcPr>
          <w:p w14:paraId="3F2ACDA4" w14:textId="77777777" w:rsidR="00491E48" w:rsidRDefault="00491E48" w:rsidP="00AC0E87">
            <w:pPr>
              <w:spacing w:line="240" w:lineRule="exact"/>
              <w:rPr>
                <w:rFonts w:ascii="Calibri" w:eastAsia="Calibri" w:hAnsi="Calibri" w:cs="Calibri"/>
              </w:rPr>
            </w:pPr>
            <w:r>
              <w:rPr>
                <w:rFonts w:ascii="Calibri" w:eastAsia="Calibri" w:hAnsi="Calibri" w:cs="Calibri"/>
              </w:rPr>
              <w:t>100%</w:t>
            </w:r>
          </w:p>
        </w:tc>
      </w:tr>
      <w:tr w:rsidR="00491E48" w14:paraId="640A1CE1" w14:textId="77777777" w:rsidTr="00AC0E87">
        <w:tc>
          <w:tcPr>
            <w:tcW w:w="3267" w:type="dxa"/>
          </w:tcPr>
          <w:p w14:paraId="27C3DA5E" w14:textId="77777777" w:rsidR="00491E48" w:rsidRDefault="00491E48" w:rsidP="00AC0E87">
            <w:pPr>
              <w:spacing w:line="240" w:lineRule="exact"/>
              <w:rPr>
                <w:rFonts w:ascii="Calibri" w:eastAsia="Calibri" w:hAnsi="Calibri" w:cs="Calibri"/>
              </w:rPr>
            </w:pPr>
            <w:r>
              <w:rPr>
                <w:rFonts w:ascii="Calibri" w:eastAsia="Calibri" w:hAnsi="Calibri" w:cs="Calibri"/>
              </w:rPr>
              <w:t>Super Bull</w:t>
            </w:r>
          </w:p>
        </w:tc>
        <w:tc>
          <w:tcPr>
            <w:tcW w:w="3267" w:type="dxa"/>
          </w:tcPr>
          <w:p w14:paraId="1F9D0704" w14:textId="77777777" w:rsidR="00491E48" w:rsidRDefault="00491E48" w:rsidP="00AC0E87">
            <w:pPr>
              <w:spacing w:line="240" w:lineRule="exact"/>
              <w:rPr>
                <w:rFonts w:ascii="Calibri" w:eastAsia="Calibri" w:hAnsi="Calibri" w:cs="Calibri"/>
              </w:rPr>
            </w:pPr>
            <w:r>
              <w:rPr>
                <w:rFonts w:ascii="Calibri" w:eastAsia="Calibri" w:hAnsi="Calibri" w:cs="Calibri"/>
              </w:rPr>
              <w:t>£3.62</w:t>
            </w:r>
          </w:p>
        </w:tc>
        <w:tc>
          <w:tcPr>
            <w:tcW w:w="3267" w:type="dxa"/>
          </w:tcPr>
          <w:p w14:paraId="6622E723" w14:textId="77777777" w:rsidR="00491E48" w:rsidRDefault="00491E48" w:rsidP="00AC0E87">
            <w:pPr>
              <w:spacing w:line="240" w:lineRule="exact"/>
              <w:rPr>
                <w:rFonts w:ascii="Calibri" w:eastAsia="Calibri" w:hAnsi="Calibri" w:cs="Calibri"/>
              </w:rPr>
            </w:pPr>
            <w:r>
              <w:rPr>
                <w:rFonts w:ascii="Calibri" w:eastAsia="Calibri" w:hAnsi="Calibri" w:cs="Calibri"/>
              </w:rPr>
              <w:t>150%</w:t>
            </w:r>
          </w:p>
        </w:tc>
      </w:tr>
    </w:tbl>
    <w:p w14:paraId="7302C48B" w14:textId="77777777" w:rsidR="00491E48" w:rsidRDefault="00491E48" w:rsidP="00491E48">
      <w:pPr>
        <w:spacing w:line="240" w:lineRule="exact"/>
        <w:rPr>
          <w:rFonts w:ascii="Calibri" w:eastAsia="Calibri" w:hAnsi="Calibri" w:cs="Calibri"/>
          <w:b/>
          <w:bCs/>
        </w:rPr>
      </w:pPr>
    </w:p>
    <w:p w14:paraId="4C3AFC69" w14:textId="77777777" w:rsidR="00491E48" w:rsidRPr="004D6AAA" w:rsidRDefault="00491E48" w:rsidP="00491E48">
      <w:pPr>
        <w:spacing w:line="240" w:lineRule="exact"/>
        <w:rPr>
          <w:rFonts w:ascii="Calibri" w:eastAsia="Calibri" w:hAnsi="Calibri" w:cs="Calibri"/>
          <w:b/>
          <w:bCs/>
        </w:rPr>
      </w:pPr>
      <w:r>
        <w:rPr>
          <w:rFonts w:ascii="Calibri" w:eastAsia="Calibri" w:hAnsi="Calibri" w:cs="Calibri"/>
          <w:b/>
          <w:bCs/>
        </w:rPr>
        <w:t>Discount rate = 5.26%</w:t>
      </w:r>
    </w:p>
    <w:p w14:paraId="0DF221FD" w14:textId="77777777" w:rsidR="00901EB5" w:rsidRPr="00285A5F" w:rsidRDefault="00491E48" w:rsidP="00285A5F">
      <w:pPr>
        <w:spacing w:line="240" w:lineRule="exact"/>
        <w:rPr>
          <w:rFonts w:ascii="Calibri" w:eastAsia="Calibri" w:hAnsi="Calibri" w:cs="Calibri"/>
        </w:rPr>
        <w:sectPr w:rsidR="00901EB5" w:rsidRPr="00285A5F" w:rsidSect="00C31C96">
          <w:pgSz w:w="10800" w:h="15600"/>
          <w:pgMar w:top="474" w:right="511" w:bottom="0" w:left="478" w:header="720" w:footer="227" w:gutter="0"/>
          <w:cols w:space="708"/>
          <w:docGrid w:linePitch="326"/>
        </w:sectPr>
      </w:pPr>
      <w:r>
        <w:rPr>
          <w:rFonts w:ascii="Calibri" w:eastAsia="Calibri" w:hAnsi="Calibri" w:cs="Calibri"/>
          <w:noProof/>
        </w:rPr>
        <mc:AlternateContent>
          <mc:Choice Requires="wps">
            <w:drawing>
              <wp:anchor distT="0" distB="0" distL="114300" distR="114300" simplePos="0" relativeHeight="251745792" behindDoc="0" locked="0" layoutInCell="1" allowOverlap="1" wp14:anchorId="4345B39E" wp14:editId="64087F66">
                <wp:simplePos x="0" y="0"/>
                <wp:positionH relativeFrom="column">
                  <wp:posOffset>-92607</wp:posOffset>
                </wp:positionH>
                <wp:positionV relativeFrom="paragraph">
                  <wp:posOffset>90613</wp:posOffset>
                </wp:positionV>
                <wp:extent cx="6630356" cy="2407535"/>
                <wp:effectExtent l="0" t="0" r="0" b="5715"/>
                <wp:wrapNone/>
                <wp:docPr id="117" name="Text Box 117"/>
                <wp:cNvGraphicFramePr/>
                <a:graphic xmlns:a="http://schemas.openxmlformats.org/drawingml/2006/main">
                  <a:graphicData uri="http://schemas.microsoft.com/office/word/2010/wordprocessingShape">
                    <wps:wsp>
                      <wps:cNvSpPr txBox="1"/>
                      <wps:spPr>
                        <a:xfrm>
                          <a:off x="0" y="0"/>
                          <a:ext cx="6630356" cy="2407535"/>
                        </a:xfrm>
                        <a:prstGeom prst="rect">
                          <a:avLst/>
                        </a:prstGeom>
                        <a:solidFill>
                          <a:schemeClr val="lt1"/>
                        </a:solidFill>
                        <a:ln w="6350">
                          <a:noFill/>
                        </a:ln>
                      </wps:spPr>
                      <wps:txbx>
                        <w:txbxContent>
                          <w:p w14:paraId="78C9A880" w14:textId="77777777" w:rsidR="00062D14" w:rsidRDefault="00062D14" w:rsidP="009A4B6B">
                            <w:r>
                              <w:rPr>
                                <w:noProof/>
                              </w:rPr>
                              <w:drawing>
                                <wp:inline distT="0" distB="0" distL="0" distR="0" wp14:anchorId="00BB74FD" wp14:editId="3283ABBC">
                                  <wp:extent cx="6204031" cy="2291715"/>
                                  <wp:effectExtent l="0" t="0" r="6350" b="6985"/>
                                  <wp:docPr id="118" name="Chart 118">
                                    <a:extLst xmlns:a="http://schemas.openxmlformats.org/drawingml/2006/main">
                                      <a:ext uri="{FF2B5EF4-FFF2-40B4-BE49-F238E27FC236}">
                                        <a16:creationId xmlns:a16="http://schemas.microsoft.com/office/drawing/2014/main" id="{AFF41A8B-71F2-4041-97B5-0F11011E381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45B39E" id="Text Box 117" o:spid="_x0000_s1045" type="#_x0000_t202" style="position:absolute;margin-left:-7.3pt;margin-top:7.15pt;width:522.1pt;height:189.5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" fillcolor="white [3201]" stroked="f" strokeweight=".5pt">
                <v:textbox>
                  <w:txbxContent>
                    <w:p w14:paraId="78C9A880" w14:textId="77777777" w:rsidR="00062D14" w:rsidRDefault="00062D14" w:rsidP="009A4B6B">
                      <w:r>
                        <w:rPr>
                          <w:noProof/>
                        </w:rPr>
                        <w:drawing>
                          <wp:inline distT="0" distB="0" distL="0" distR="0" wp14:anchorId="00BB74FD" wp14:editId="3283ABBC">
                            <wp:extent cx="6204031" cy="2291715"/>
                            <wp:effectExtent l="0" t="0" r="6350" b="6985"/>
                            <wp:docPr id="118" name="Chart 118">
                              <a:extLst xmlns:a="http://schemas.openxmlformats.org/drawingml/2006/main">
                                <a:ext uri="{FF2B5EF4-FFF2-40B4-BE49-F238E27FC236}">
                                  <a16:creationId xmlns:a16="http://schemas.microsoft.com/office/drawing/2014/main" id="{AFF41A8B-71F2-4041-97B5-0F11011E381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xbxContent>
                </v:textbox>
              </v:shape>
            </w:pict>
          </mc:Fallback>
        </mc:AlternateContent>
      </w:r>
      <w:r w:rsidR="003443BC">
        <w:rPr>
          <w:noProof/>
        </w:rPr>
        <mc:AlternateContent>
          <mc:Choice Requires="wps">
            <w:drawing>
              <wp:anchor distT="0" distB="0" distL="0" distR="0" simplePos="0" relativeHeight="251717120" behindDoc="1" locked="0" layoutInCell="0" allowOverlap="1" wp14:anchorId="350C6571" wp14:editId="379C5D6B">
                <wp:simplePos x="0" y="0"/>
                <wp:positionH relativeFrom="page">
                  <wp:posOffset>-23005</wp:posOffset>
                </wp:positionH>
                <wp:positionV relativeFrom="page">
                  <wp:posOffset>9542145</wp:posOffset>
                </wp:positionV>
                <wp:extent cx="6858000" cy="0"/>
                <wp:effectExtent l="0" t="0" r="12700" b="12700"/>
                <wp:wrapNone/>
                <wp:docPr id="81" name="drawingObject22"/>
                <wp:cNvGraphicFramePr/>
                <a:graphic xmlns:a="http://schemas.openxmlformats.org/drawingml/2006/main">
                  <a:graphicData uri="http://schemas.microsoft.com/office/word/2010/wordprocessingShape">
                    <wps:wsp>
                      <wps:cNvSpPr/>
                      <wps:spPr>
                        <a:xfrm>
                          <a:off x="0" y="0"/>
                          <a:ext cx="6858000" cy="0"/>
                        </a:xfrm>
                        <a:custGeom>
                          <a:avLst/>
                          <a:gdLst/>
                          <a:ahLst/>
                          <a:cxnLst/>
                          <a:rect l="0" t="0" r="0" b="0"/>
                          <a:pathLst>
                            <a:path w="6858000">
                              <a:moveTo>
                                <a:pt x="0" y="0"/>
                              </a:moveTo>
                              <a:lnTo>
                                <a:pt x="6858000" y="0"/>
                              </a:lnTo>
                            </a:path>
                          </a:pathLst>
                        </a:custGeom>
                        <a:noFill/>
                        <a:ln w="6350" cap="flat">
                          <a:solidFill>
                            <a:srgbClr val="1F4E79"/>
                          </a:solidFill>
                          <a:prstDash/>
                        </a:ln>
                      </wps:spPr>
                      <wps:bodyPr vertOverflow="overflow" horzOverflow="overflow" vert="horz" lIns="91440" tIns="45720" rIns="91440" bIns="45720" anchor="t"/>
                    </wps:wsp>
                  </a:graphicData>
                </a:graphic>
              </wp:anchor>
            </w:drawing>
          </mc:Choice>
          <mc:Fallback>
            <w:pict>
              <v:shape w14:anchorId="537806C7" id="drawingObject22" o:spid="_x0000_s1026" style="position:absolute;margin-left:-1.8pt;margin-top:751.35pt;width:540pt;height:0;z-index:-251599360;visibility:visible;mso-wrap-style:square;mso-wrap-distance-left:0;mso-wrap-distance-top:0;mso-wrap-distance-right:0;mso-wrap-distance-bottom:0;mso-position-horizontal:absolute;mso-position-horizontal-relative:page;mso-position-vertical:absolute;mso-position-vertical-relative:page;v-text-anchor:top" coordsize="6858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" o:allowincell="f" path="m,l6858000,e" filled="f" strokecolor="#1f4e79" strokeweight=".5pt">
                <v:path arrowok="t" textboxrect="0,0,6858000,0"/>
                <w10:wrap anchorx="page" anchory="page"/>
              </v:shape>
            </w:pict>
          </mc:Fallback>
        </mc:AlternateContent>
      </w:r>
    </w:p>
    <w:p w14:paraId="1D0E9239" w14:textId="77777777" w:rsidR="00901EB5" w:rsidRPr="00377F7E" w:rsidRDefault="00501518">
      <w:pPr>
        <w:ind w:right="-20"/>
        <w:rPr>
          <w:rFonts w:ascii="Calibri" w:eastAsia="Calibri" w:hAnsi="Calibri" w:cs="Calibri"/>
          <w:b/>
          <w:bCs/>
          <w:color w:val="7030A0"/>
          <w:sz w:val="36"/>
          <w:szCs w:val="36"/>
        </w:rPr>
      </w:pPr>
      <w:r w:rsidRPr="006103C6">
        <w:rPr>
          <w:rFonts w:ascii="Times New Roman" w:eastAsia="Times New Roman" w:hAnsi="Times New Roman" w:cs="Times New Roman"/>
          <w:noProof/>
        </w:rPr>
        <w:lastRenderedPageBreak/>
        <w:drawing>
          <wp:anchor distT="0" distB="0" distL="114300" distR="114300" simplePos="0" relativeHeight="251707904" behindDoc="0" locked="0" layoutInCell="1" allowOverlap="1" wp14:anchorId="04B8A2A6" wp14:editId="3A446670">
            <wp:simplePos x="0" y="0"/>
            <wp:positionH relativeFrom="column">
              <wp:posOffset>3981692</wp:posOffset>
            </wp:positionH>
            <wp:positionV relativeFrom="paragraph">
              <wp:posOffset>0</wp:posOffset>
            </wp:positionV>
            <wp:extent cx="2325370" cy="361950"/>
            <wp:effectExtent l="0" t="0" r="0" b="6350"/>
            <wp:wrapSquare wrapText="bothSides"/>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5370"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008B48BC">
        <w:rPr>
          <w:rFonts w:ascii="Calibri" w:eastAsia="Calibri" w:hAnsi="Calibri" w:cs="Calibri"/>
          <w:b/>
          <w:bCs/>
          <w:i/>
          <w:iCs/>
          <w:color w:val="44546A"/>
          <w:sz w:val="36"/>
          <w:szCs w:val="36"/>
        </w:rPr>
        <w:t>Discussion</w:t>
      </w:r>
      <w:r w:rsidR="008B48BC">
        <w:rPr>
          <w:rFonts w:ascii="Calibri" w:eastAsia="Calibri" w:hAnsi="Calibri" w:cs="Calibri"/>
          <w:color w:val="44546A"/>
          <w:sz w:val="36"/>
          <w:szCs w:val="36"/>
        </w:rPr>
        <w:t xml:space="preserve"> </w:t>
      </w:r>
      <w:r w:rsidR="008B48BC">
        <w:rPr>
          <w:rFonts w:ascii="Calibri" w:eastAsia="Calibri" w:hAnsi="Calibri" w:cs="Calibri"/>
          <w:b/>
          <w:bCs/>
          <w:i/>
          <w:iCs/>
          <w:color w:val="44546A"/>
          <w:sz w:val="36"/>
          <w:szCs w:val="36"/>
        </w:rPr>
        <w:t>of</w:t>
      </w:r>
      <w:r w:rsidR="008B48BC">
        <w:rPr>
          <w:rFonts w:ascii="Calibri" w:eastAsia="Calibri" w:hAnsi="Calibri" w:cs="Calibri"/>
          <w:color w:val="44546A"/>
          <w:sz w:val="36"/>
          <w:szCs w:val="36"/>
        </w:rPr>
        <w:t xml:space="preserve"> </w:t>
      </w:r>
      <w:r w:rsidR="008B48BC">
        <w:rPr>
          <w:rFonts w:ascii="Calibri" w:eastAsia="Calibri" w:hAnsi="Calibri" w:cs="Calibri"/>
          <w:b/>
          <w:bCs/>
          <w:i/>
          <w:iCs/>
          <w:color w:val="44546A"/>
          <w:sz w:val="36"/>
          <w:szCs w:val="36"/>
        </w:rPr>
        <w:t>Results</w:t>
      </w:r>
    </w:p>
    <w:p w14:paraId="530C47BB" w14:textId="77777777" w:rsidR="00901EB5" w:rsidRDefault="00901EB5">
      <w:pPr>
        <w:spacing w:line="240" w:lineRule="exact"/>
        <w:rPr>
          <w:rFonts w:ascii="Calibri" w:eastAsia="Calibri" w:hAnsi="Calibri" w:cs="Calibri"/>
        </w:rPr>
      </w:pPr>
    </w:p>
    <w:p w14:paraId="1928C586" w14:textId="77777777" w:rsidR="00901EB5" w:rsidRDefault="00377F7E">
      <w:pPr>
        <w:spacing w:line="240" w:lineRule="exact"/>
        <w:rPr>
          <w:rFonts w:ascii="Calibri" w:eastAsia="Calibri" w:hAnsi="Calibri" w:cs="Calibri"/>
        </w:rPr>
      </w:pPr>
      <w:r>
        <w:rPr>
          <w:rFonts w:ascii="Calibri" w:eastAsia="Calibri" w:hAnsi="Calibri" w:cs="Calibri"/>
          <w:noProof/>
        </w:rPr>
        <mc:AlternateContent>
          <mc:Choice Requires="wps">
            <w:drawing>
              <wp:anchor distT="0" distB="0" distL="114300" distR="114300" simplePos="0" relativeHeight="251759104" behindDoc="0" locked="0" layoutInCell="1" allowOverlap="1" wp14:anchorId="6D1AB000" wp14:editId="33DEDD9F">
                <wp:simplePos x="0" y="0"/>
                <wp:positionH relativeFrom="column">
                  <wp:posOffset>26670</wp:posOffset>
                </wp:positionH>
                <wp:positionV relativeFrom="paragraph">
                  <wp:posOffset>55245</wp:posOffset>
                </wp:positionV>
                <wp:extent cx="6209030" cy="6769100"/>
                <wp:effectExtent l="0" t="0" r="1270" b="0"/>
                <wp:wrapNone/>
                <wp:docPr id="37" name="Text Box 37"/>
                <wp:cNvGraphicFramePr/>
                <a:graphic xmlns:a="http://schemas.openxmlformats.org/drawingml/2006/main">
                  <a:graphicData uri="http://schemas.microsoft.com/office/word/2010/wordprocessingShape">
                    <wps:wsp>
                      <wps:cNvSpPr txBox="1"/>
                      <wps:spPr>
                        <a:xfrm>
                          <a:off x="0" y="0"/>
                          <a:ext cx="6209030" cy="6769100"/>
                        </a:xfrm>
                        <a:prstGeom prst="rect">
                          <a:avLst/>
                        </a:prstGeom>
                        <a:solidFill>
                          <a:schemeClr val="lt1"/>
                        </a:solidFill>
                        <a:ln w="6350">
                          <a:noFill/>
                        </a:ln>
                      </wps:spPr>
                      <wps:txbx>
                        <w:txbxContent>
                          <w:p w14:paraId="48775243" w14:textId="77777777" w:rsidR="00062D14" w:rsidRDefault="00062D14" w:rsidP="00377F7E">
                            <w:pPr>
                              <w:rPr>
                                <w:u w:val="single"/>
                              </w:rPr>
                            </w:pPr>
                            <w:r>
                              <w:rPr>
                                <w:u w:val="single"/>
                              </w:rPr>
                              <w:t>Downside Scenarios</w:t>
                            </w:r>
                          </w:p>
                          <w:p w14:paraId="249BBAEB" w14:textId="77777777" w:rsidR="00062D14" w:rsidRDefault="00062D14" w:rsidP="00377F7E">
                            <w:pPr>
                              <w:rPr>
                                <w:u w:val="single"/>
                              </w:rPr>
                            </w:pPr>
                          </w:p>
                          <w:p w14:paraId="055E9667" w14:textId="77777777" w:rsidR="00062D14" w:rsidRDefault="00062D14" w:rsidP="00377F7E">
                            <w:r>
                              <w:t>We believe that our bear cases are unlikely and require some form of disruption to Urban Logistics business model and the last mile warehouse industry as a whole.</w:t>
                            </w:r>
                          </w:p>
                          <w:p w14:paraId="18BC9668" w14:textId="77777777" w:rsidR="00062D14" w:rsidRDefault="00062D14" w:rsidP="00377F7E"/>
                          <w:p w14:paraId="15E2D4F9" w14:textId="77777777" w:rsidR="00062D14" w:rsidRDefault="00062D14" w:rsidP="00377F7E">
                            <w:r>
                              <w:t xml:space="preserve"> A fall in earnings yield, as occurs in the super bear case, is likely only if the industry faces serious disruption. This is most likely to occur if there is technological advances that render the warehousing model obsolete, however may also occur in a host of other scenarios such as a change to zoning laws that allows for supply to begin to outstrip demand. </w:t>
                            </w:r>
                          </w:p>
                          <w:p w14:paraId="3A1108FC" w14:textId="77777777" w:rsidR="00062D14" w:rsidRDefault="00062D14" w:rsidP="00377F7E"/>
                          <w:p w14:paraId="3A926BB0" w14:textId="77777777" w:rsidR="00062D14" w:rsidRDefault="00062D14" w:rsidP="00377F7E">
                            <w:r>
                              <w:t>No nominal growth after 2024 effectively assumes that management, or industry conditions, become incapable of increasing the value of assets. With a trailing 5 year CAGR of 5.7% to 2020, and analyst predicting a further 3.8% CAGR up to 2025, it seems unlikely that growth in the industry will entirely stop after 2024. Again the cases in which this assumption will occur are extreme. Without significant disruption from either the demand or supply side of the industry, the natural imbalance between these two forces will continue to push up asset values at least in line with inflation.</w:t>
                            </w:r>
                          </w:p>
                          <w:p w14:paraId="1E3A04FF" w14:textId="77777777" w:rsidR="00062D14" w:rsidRPr="005A478A" w:rsidRDefault="00062D14" w:rsidP="00377F7E"/>
                          <w:p w14:paraId="32DE7E1C" w14:textId="77777777" w:rsidR="00062D14" w:rsidRDefault="00062D14" w:rsidP="00377F7E">
                            <w:pPr>
                              <w:rPr>
                                <w:u w:val="single"/>
                              </w:rPr>
                            </w:pPr>
                          </w:p>
                          <w:p w14:paraId="1C98B8FD" w14:textId="77777777" w:rsidR="00062D14" w:rsidRDefault="00062D14" w:rsidP="00377F7E">
                            <w:pPr>
                              <w:rPr>
                                <w:u w:val="single"/>
                              </w:rPr>
                            </w:pPr>
                            <w:r>
                              <w:rPr>
                                <w:u w:val="single"/>
                              </w:rPr>
                              <w:t>Conclusion</w:t>
                            </w:r>
                          </w:p>
                          <w:p w14:paraId="29FD79F5" w14:textId="77777777" w:rsidR="00062D14" w:rsidRDefault="00062D14" w:rsidP="00377F7E">
                            <w:pPr>
                              <w:rPr>
                                <w:u w:val="single"/>
                              </w:rPr>
                            </w:pPr>
                          </w:p>
                          <w:p w14:paraId="7C3C80BF" w14:textId="77777777" w:rsidR="00062D14" w:rsidRDefault="00062D14" w:rsidP="00B36FFF">
                            <w:r>
                              <w:t>From our analysis of Urban logistics we conclude that the upside potential of Urban Logistics heavily outweighs the downside. As discussed above we believe that our bear case scenarios are likely only to occur in the face of exogenous shocks to the industry that we can’t predict or foresee. Whereas we believe our upside scenarios are the results of strongly evidenced secular shifts.</w:t>
                            </w:r>
                          </w:p>
                          <w:p w14:paraId="382409F0" w14:textId="77777777" w:rsidR="00062D14" w:rsidRPr="00AA2290" w:rsidRDefault="00062D14" w:rsidP="00B36FFF">
                            <w:r>
                              <w:t xml:space="preserve"> </w:t>
                            </w:r>
                          </w:p>
                          <w:p w14:paraId="599DFB0D" w14:textId="77777777" w:rsidR="00062D14" w:rsidRDefault="00062D14" w:rsidP="00377F7E">
                            <w:r>
                              <w:t>From a value investment perspective the company exhibits highly attractive characteristics:</w:t>
                            </w:r>
                          </w:p>
                          <w:p w14:paraId="1CB50AC6" w14:textId="77777777" w:rsidR="00062D14" w:rsidRDefault="00062D14" w:rsidP="00D57487">
                            <w:pPr>
                              <w:pStyle w:val="ListParagraph"/>
                              <w:numPr>
                                <w:ilvl w:val="0"/>
                                <w:numId w:val="7"/>
                              </w:numPr>
                            </w:pPr>
                            <w:r>
                              <w:t>It has an easily quantifiable asset base and revenue stream.</w:t>
                            </w:r>
                          </w:p>
                          <w:p w14:paraId="686B1ABB" w14:textId="77777777" w:rsidR="00062D14" w:rsidRDefault="00062D14" w:rsidP="00D57487">
                            <w:pPr>
                              <w:pStyle w:val="ListParagraph"/>
                              <w:numPr>
                                <w:ilvl w:val="0"/>
                                <w:numId w:val="7"/>
                              </w:numPr>
                            </w:pPr>
                            <w:r>
                              <w:t xml:space="preserve">It operates in an industry that is insulated from economic shocks. </w:t>
                            </w:r>
                          </w:p>
                          <w:p w14:paraId="6FED58BD" w14:textId="77777777" w:rsidR="00062D14" w:rsidRDefault="00062D14" w:rsidP="00D57487">
                            <w:pPr>
                              <w:pStyle w:val="ListParagraph"/>
                              <w:numPr>
                                <w:ilvl w:val="0"/>
                                <w:numId w:val="7"/>
                              </w:numPr>
                            </w:pPr>
                            <w:r>
                              <w:t>Its product is unlikely to ever become obsolete.</w:t>
                            </w:r>
                          </w:p>
                          <w:p w14:paraId="7F723E92" w14:textId="77777777" w:rsidR="00062D14" w:rsidRDefault="00062D14" w:rsidP="00D57487">
                            <w:pPr>
                              <w:pStyle w:val="ListParagraph"/>
                              <w:numPr>
                                <w:ilvl w:val="0"/>
                                <w:numId w:val="7"/>
                              </w:numPr>
                            </w:pPr>
                            <w:r>
                              <w:t xml:space="preserve">It serves an expanding market in which supply faces hard constraints. </w:t>
                            </w:r>
                          </w:p>
                          <w:p w14:paraId="5CD7673D" w14:textId="77777777" w:rsidR="00062D14" w:rsidRDefault="00062D14" w:rsidP="00D57487">
                            <w:pPr>
                              <w:pStyle w:val="ListParagraph"/>
                              <w:numPr>
                                <w:ilvl w:val="0"/>
                                <w:numId w:val="7"/>
                              </w:numPr>
                            </w:pPr>
                            <w:r>
                              <w:t>Management is experienced and well aligned.</w:t>
                            </w:r>
                          </w:p>
                          <w:p w14:paraId="4EA08745" w14:textId="77777777" w:rsidR="00062D14" w:rsidRPr="00AA2290" w:rsidRDefault="00062D14" w:rsidP="00D57487">
                            <w:pPr>
                              <w:pStyle w:val="ListParagraph"/>
                              <w:numPr>
                                <w:ilvl w:val="0"/>
                                <w:numId w:val="7"/>
                              </w:numPr>
                            </w:pPr>
                            <w:r>
                              <w:t>It is significantly under-priced.</w:t>
                            </w:r>
                          </w:p>
                          <w:p w14:paraId="7F72426C" w14:textId="77777777" w:rsidR="00062D14" w:rsidRDefault="00062D14">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1AB000" id="Text Box 37" o:spid="_x0000_s1046" type="#_x0000_t202" style="position:absolute;margin-left:2.1pt;margin-top:4.35pt;width:488.9pt;height:533pt;z-index:251759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" fillcolor="white [3201]" stroked="f" strokeweight=".5pt">
                <v:textbox>
                  <w:txbxContent>
                    <w:p w14:paraId="48775243" w14:textId="77777777" w:rsidR="00062D14" w:rsidRDefault="00062D14" w:rsidP="00377F7E">
                      <w:pPr>
                        <w:rPr>
                          <w:u w:val="single"/>
                        </w:rPr>
                      </w:pPr>
                      <w:r>
                        <w:rPr>
                          <w:u w:val="single"/>
                        </w:rPr>
                        <w:t>Downside Scenarios</w:t>
                      </w:r>
                    </w:p>
                    <w:p w14:paraId="249BBAEB" w14:textId="77777777" w:rsidR="00062D14" w:rsidRDefault="00062D14" w:rsidP="00377F7E">
                      <w:pPr>
                        <w:rPr>
                          <w:u w:val="single"/>
                        </w:rPr>
                      </w:pPr>
                    </w:p>
                    <w:p w14:paraId="055E9667" w14:textId="77777777" w:rsidR="00062D14" w:rsidRDefault="00062D14" w:rsidP="00377F7E">
                      <w:r>
                        <w:t>We believe that our bear cases are unlikely and require some form of disruption to Urban Logistics business model and the last mile warehouse industry as a whole.</w:t>
                      </w:r>
                    </w:p>
                    <w:p w14:paraId="18BC9668" w14:textId="77777777" w:rsidR="00062D14" w:rsidRDefault="00062D14" w:rsidP="00377F7E"/>
                    <w:p w14:paraId="15E2D4F9" w14:textId="77777777" w:rsidR="00062D14" w:rsidRDefault="00062D14" w:rsidP="00377F7E">
                      <w:r>
                        <w:t xml:space="preserve"> A fall in earnings yield, as occurs in the super bear case, is likely only if the industry faces serious disruption. This is most likely to occur if there is technological advances that render the warehousing model obsolete, however may also occur in a host of other scenarios such as a change to zoning laws that allows for supply to begin to outstrip demand. </w:t>
                      </w:r>
                    </w:p>
                    <w:p w14:paraId="3A1108FC" w14:textId="77777777" w:rsidR="00062D14" w:rsidRDefault="00062D14" w:rsidP="00377F7E"/>
                    <w:p w14:paraId="3A926BB0" w14:textId="77777777" w:rsidR="00062D14" w:rsidRDefault="00062D14" w:rsidP="00377F7E">
                      <w:r>
                        <w:t>No nominal growth after 2024 effectively assumes that management, or industry conditions, become incapable of increasing the value of assets. With a trailing 5 year CAGR of 5.7% to 2020, and analyst predicting a further 3.8% CAGR up to 2025, it seems unlikely that growth in the industry will entirely stop after 2024. Again the cases in which this assumption will occur are extreme. Without significant disruption from either the demand or supply side of the industry, the natural imbalance between these two forces will continue to push up asset values at least in line with inflation.</w:t>
                      </w:r>
                    </w:p>
                    <w:p w14:paraId="1E3A04FF" w14:textId="77777777" w:rsidR="00062D14" w:rsidRPr="005A478A" w:rsidRDefault="00062D14" w:rsidP="00377F7E"/>
                    <w:p w14:paraId="32DE7E1C" w14:textId="77777777" w:rsidR="00062D14" w:rsidRDefault="00062D14" w:rsidP="00377F7E">
                      <w:pPr>
                        <w:rPr>
                          <w:u w:val="single"/>
                        </w:rPr>
                      </w:pPr>
                    </w:p>
                    <w:p w14:paraId="1C98B8FD" w14:textId="77777777" w:rsidR="00062D14" w:rsidRDefault="00062D14" w:rsidP="00377F7E">
                      <w:pPr>
                        <w:rPr>
                          <w:u w:val="single"/>
                        </w:rPr>
                      </w:pPr>
                      <w:r>
                        <w:rPr>
                          <w:u w:val="single"/>
                        </w:rPr>
                        <w:t>Conclusion</w:t>
                      </w:r>
                    </w:p>
                    <w:p w14:paraId="29FD79F5" w14:textId="77777777" w:rsidR="00062D14" w:rsidRDefault="00062D14" w:rsidP="00377F7E">
                      <w:pPr>
                        <w:rPr>
                          <w:u w:val="single"/>
                        </w:rPr>
                      </w:pPr>
                    </w:p>
                    <w:p w14:paraId="7C3C80BF" w14:textId="77777777" w:rsidR="00062D14" w:rsidRDefault="00062D14" w:rsidP="00B36FFF">
                      <w:r>
                        <w:t>From our analysis of Urban logistics we conclude that the upside potential of Urban Logistics heavily outweighs the downside. As discussed above we believe that our bear case scenarios are likely only to occur in the face of exogenous shocks to the industry that we can’t predict or foresee. Whereas we believe our upside scenarios are the results of strongly evidenced secular shifts.</w:t>
                      </w:r>
                    </w:p>
                    <w:p w14:paraId="382409F0" w14:textId="77777777" w:rsidR="00062D14" w:rsidRPr="00AA2290" w:rsidRDefault="00062D14" w:rsidP="00B36FFF">
                      <w:r>
                        <w:t xml:space="preserve"> </w:t>
                      </w:r>
                    </w:p>
                    <w:p w14:paraId="599DFB0D" w14:textId="77777777" w:rsidR="00062D14" w:rsidRDefault="00062D14" w:rsidP="00377F7E">
                      <w:r>
                        <w:t>From a value investment perspective the company exhibits highly attractive characteristics:</w:t>
                      </w:r>
                    </w:p>
                    <w:p w14:paraId="1CB50AC6" w14:textId="77777777" w:rsidR="00062D14" w:rsidRDefault="00062D14" w:rsidP="00D57487">
                      <w:pPr>
                        <w:pStyle w:val="ListParagraph"/>
                        <w:numPr>
                          <w:ilvl w:val="0"/>
                          <w:numId w:val="7"/>
                        </w:numPr>
                      </w:pPr>
                      <w:r>
                        <w:t>It has an easily quantifiable asset base and revenue stream.</w:t>
                      </w:r>
                    </w:p>
                    <w:p w14:paraId="686B1ABB" w14:textId="77777777" w:rsidR="00062D14" w:rsidRDefault="00062D14" w:rsidP="00D57487">
                      <w:pPr>
                        <w:pStyle w:val="ListParagraph"/>
                        <w:numPr>
                          <w:ilvl w:val="0"/>
                          <w:numId w:val="7"/>
                        </w:numPr>
                      </w:pPr>
                      <w:r>
                        <w:t xml:space="preserve">It operates in an industry that is insulated from economic shocks. </w:t>
                      </w:r>
                    </w:p>
                    <w:p w14:paraId="6FED58BD" w14:textId="77777777" w:rsidR="00062D14" w:rsidRDefault="00062D14" w:rsidP="00D57487">
                      <w:pPr>
                        <w:pStyle w:val="ListParagraph"/>
                        <w:numPr>
                          <w:ilvl w:val="0"/>
                          <w:numId w:val="7"/>
                        </w:numPr>
                      </w:pPr>
                      <w:r>
                        <w:t>Its product is unlikely to ever become obsolete.</w:t>
                      </w:r>
                    </w:p>
                    <w:p w14:paraId="7F723E92" w14:textId="77777777" w:rsidR="00062D14" w:rsidRDefault="00062D14" w:rsidP="00D57487">
                      <w:pPr>
                        <w:pStyle w:val="ListParagraph"/>
                        <w:numPr>
                          <w:ilvl w:val="0"/>
                          <w:numId w:val="7"/>
                        </w:numPr>
                      </w:pPr>
                      <w:r>
                        <w:t xml:space="preserve">It serves an expanding market in which supply faces hard constraints. </w:t>
                      </w:r>
                    </w:p>
                    <w:p w14:paraId="5CD7673D" w14:textId="77777777" w:rsidR="00062D14" w:rsidRDefault="00062D14" w:rsidP="00D57487">
                      <w:pPr>
                        <w:pStyle w:val="ListParagraph"/>
                        <w:numPr>
                          <w:ilvl w:val="0"/>
                          <w:numId w:val="7"/>
                        </w:numPr>
                      </w:pPr>
                      <w:r>
                        <w:t>Management is experienced and well aligned.</w:t>
                      </w:r>
                    </w:p>
                    <w:p w14:paraId="4EA08745" w14:textId="77777777" w:rsidR="00062D14" w:rsidRPr="00AA2290" w:rsidRDefault="00062D14" w:rsidP="00D57487">
                      <w:pPr>
                        <w:pStyle w:val="ListParagraph"/>
                        <w:numPr>
                          <w:ilvl w:val="0"/>
                          <w:numId w:val="7"/>
                        </w:numPr>
                      </w:pPr>
                      <w:r>
                        <w:t>It is significantly under-priced.</w:t>
                      </w:r>
                    </w:p>
                    <w:p w14:paraId="7F72426C" w14:textId="77777777" w:rsidR="00062D14" w:rsidRDefault="00062D14">
                      <w:r>
                        <w:t xml:space="preserve"> </w:t>
                      </w:r>
                    </w:p>
                  </w:txbxContent>
                </v:textbox>
              </v:shape>
            </w:pict>
          </mc:Fallback>
        </mc:AlternateContent>
      </w:r>
    </w:p>
    <w:p w14:paraId="4C2E716F" w14:textId="77777777" w:rsidR="00901EB5" w:rsidRDefault="00901EB5">
      <w:pPr>
        <w:spacing w:after="4" w:line="140" w:lineRule="exact"/>
        <w:rPr>
          <w:rFonts w:ascii="Calibri" w:eastAsia="Calibri" w:hAnsi="Calibri" w:cs="Calibri"/>
          <w:sz w:val="14"/>
          <w:szCs w:val="14"/>
        </w:rPr>
      </w:pPr>
    </w:p>
    <w:p w14:paraId="2CC27B4E" w14:textId="77777777" w:rsidR="00901EB5" w:rsidRDefault="00901EB5" w:rsidP="00285A5F">
      <w:pPr>
        <w:ind w:right="-20"/>
        <w:rPr>
          <w:rFonts w:ascii="Calibri" w:eastAsia="Calibri" w:hAnsi="Calibri" w:cs="Calibri"/>
          <w:color w:val="000000"/>
          <w:sz w:val="36"/>
          <w:szCs w:val="36"/>
        </w:rPr>
      </w:pPr>
    </w:p>
    <w:p w14:paraId="3C0119DB" w14:textId="77777777" w:rsidR="00901EB5" w:rsidRDefault="00901EB5">
      <w:pPr>
        <w:spacing w:line="240" w:lineRule="exact"/>
        <w:rPr>
          <w:rFonts w:ascii="Calibri" w:eastAsia="Calibri" w:hAnsi="Calibri" w:cs="Calibri"/>
        </w:rPr>
      </w:pPr>
    </w:p>
    <w:p w14:paraId="1149BB15" w14:textId="77777777" w:rsidR="00901EB5" w:rsidRDefault="00901EB5">
      <w:pPr>
        <w:spacing w:line="240" w:lineRule="exact"/>
        <w:rPr>
          <w:rFonts w:ascii="Calibri" w:eastAsia="Calibri" w:hAnsi="Calibri" w:cs="Calibri"/>
        </w:rPr>
      </w:pPr>
    </w:p>
    <w:p w14:paraId="549AC3E8" w14:textId="77777777" w:rsidR="00901EB5" w:rsidRDefault="00901EB5">
      <w:pPr>
        <w:spacing w:line="240" w:lineRule="exact"/>
        <w:rPr>
          <w:rFonts w:ascii="Calibri" w:eastAsia="Calibri" w:hAnsi="Calibri" w:cs="Calibri"/>
        </w:rPr>
      </w:pPr>
    </w:p>
    <w:p w14:paraId="505A8CB9" w14:textId="77777777" w:rsidR="00901EB5" w:rsidRDefault="00901EB5">
      <w:pPr>
        <w:spacing w:line="240" w:lineRule="exact"/>
        <w:rPr>
          <w:rFonts w:ascii="Calibri" w:eastAsia="Calibri" w:hAnsi="Calibri" w:cs="Calibri"/>
        </w:rPr>
      </w:pPr>
    </w:p>
    <w:p w14:paraId="3CD56F32" w14:textId="77777777" w:rsidR="00901EB5" w:rsidRDefault="00901EB5">
      <w:pPr>
        <w:spacing w:line="240" w:lineRule="exact"/>
        <w:rPr>
          <w:rFonts w:ascii="Calibri" w:eastAsia="Calibri" w:hAnsi="Calibri" w:cs="Calibri"/>
        </w:rPr>
      </w:pPr>
    </w:p>
    <w:p w14:paraId="6317B0C5" w14:textId="77777777" w:rsidR="00901EB5" w:rsidRDefault="00901EB5">
      <w:pPr>
        <w:spacing w:line="240" w:lineRule="exact"/>
        <w:rPr>
          <w:rFonts w:ascii="Calibri" w:eastAsia="Calibri" w:hAnsi="Calibri" w:cs="Calibri"/>
        </w:rPr>
      </w:pPr>
    </w:p>
    <w:p w14:paraId="1EE56D14" w14:textId="77777777" w:rsidR="00901EB5" w:rsidRDefault="00901EB5">
      <w:pPr>
        <w:spacing w:line="240" w:lineRule="exact"/>
        <w:rPr>
          <w:rFonts w:ascii="Calibri" w:eastAsia="Calibri" w:hAnsi="Calibri" w:cs="Calibri"/>
        </w:rPr>
      </w:pPr>
    </w:p>
    <w:p w14:paraId="6296673D" w14:textId="77777777" w:rsidR="00901EB5" w:rsidRDefault="00901EB5">
      <w:pPr>
        <w:spacing w:line="240" w:lineRule="exact"/>
        <w:rPr>
          <w:rFonts w:ascii="Calibri" w:eastAsia="Calibri" w:hAnsi="Calibri" w:cs="Calibri"/>
        </w:rPr>
      </w:pPr>
    </w:p>
    <w:p w14:paraId="3F037A3C" w14:textId="77777777" w:rsidR="00901EB5" w:rsidRDefault="00901EB5">
      <w:pPr>
        <w:spacing w:line="240" w:lineRule="exact"/>
        <w:rPr>
          <w:rFonts w:ascii="Calibri" w:eastAsia="Calibri" w:hAnsi="Calibri" w:cs="Calibri"/>
        </w:rPr>
      </w:pPr>
    </w:p>
    <w:p w14:paraId="037518EE" w14:textId="77777777" w:rsidR="00901EB5" w:rsidRDefault="00901EB5">
      <w:pPr>
        <w:spacing w:line="240" w:lineRule="exact"/>
        <w:rPr>
          <w:rFonts w:ascii="Calibri" w:eastAsia="Calibri" w:hAnsi="Calibri" w:cs="Calibri"/>
        </w:rPr>
      </w:pPr>
    </w:p>
    <w:p w14:paraId="3E4A20BA" w14:textId="77777777" w:rsidR="00901EB5" w:rsidRDefault="00901EB5">
      <w:pPr>
        <w:spacing w:line="240" w:lineRule="exact"/>
        <w:rPr>
          <w:rFonts w:ascii="Calibri" w:eastAsia="Calibri" w:hAnsi="Calibri" w:cs="Calibri"/>
        </w:rPr>
      </w:pPr>
    </w:p>
    <w:p w14:paraId="3CD6573D" w14:textId="77777777" w:rsidR="00901EB5" w:rsidRDefault="00901EB5">
      <w:pPr>
        <w:spacing w:line="240" w:lineRule="exact"/>
        <w:rPr>
          <w:rFonts w:ascii="Calibri" w:eastAsia="Calibri" w:hAnsi="Calibri" w:cs="Calibri"/>
        </w:rPr>
      </w:pPr>
    </w:p>
    <w:p w14:paraId="05DD8692" w14:textId="77777777" w:rsidR="00901EB5" w:rsidRDefault="00901EB5">
      <w:pPr>
        <w:spacing w:line="240" w:lineRule="exact"/>
        <w:rPr>
          <w:rFonts w:ascii="Calibri" w:eastAsia="Calibri" w:hAnsi="Calibri" w:cs="Calibri"/>
        </w:rPr>
      </w:pPr>
    </w:p>
    <w:p w14:paraId="1E80467D" w14:textId="77777777" w:rsidR="00901EB5" w:rsidRDefault="00901EB5">
      <w:pPr>
        <w:spacing w:line="240" w:lineRule="exact"/>
        <w:rPr>
          <w:rFonts w:ascii="Calibri" w:eastAsia="Calibri" w:hAnsi="Calibri" w:cs="Calibri"/>
        </w:rPr>
      </w:pPr>
    </w:p>
    <w:p w14:paraId="3A1CECC5" w14:textId="77777777" w:rsidR="00901EB5" w:rsidRDefault="00901EB5">
      <w:pPr>
        <w:spacing w:line="240" w:lineRule="exact"/>
        <w:rPr>
          <w:rFonts w:ascii="Calibri" w:eastAsia="Calibri" w:hAnsi="Calibri" w:cs="Calibri"/>
        </w:rPr>
      </w:pPr>
    </w:p>
    <w:p w14:paraId="02B426B9" w14:textId="77777777" w:rsidR="00901EB5" w:rsidRDefault="00901EB5">
      <w:pPr>
        <w:spacing w:line="240" w:lineRule="exact"/>
        <w:rPr>
          <w:rFonts w:ascii="Calibri" w:eastAsia="Calibri" w:hAnsi="Calibri" w:cs="Calibri"/>
        </w:rPr>
      </w:pPr>
    </w:p>
    <w:p w14:paraId="543E42ED" w14:textId="77777777" w:rsidR="00901EB5" w:rsidRDefault="00901EB5">
      <w:pPr>
        <w:spacing w:line="240" w:lineRule="exact"/>
        <w:rPr>
          <w:rFonts w:ascii="Calibri" w:eastAsia="Calibri" w:hAnsi="Calibri" w:cs="Calibri"/>
        </w:rPr>
      </w:pPr>
    </w:p>
    <w:p w14:paraId="739A4F05" w14:textId="77777777" w:rsidR="00901EB5" w:rsidRDefault="00901EB5">
      <w:pPr>
        <w:spacing w:line="240" w:lineRule="exact"/>
        <w:rPr>
          <w:rFonts w:ascii="Calibri" w:eastAsia="Calibri" w:hAnsi="Calibri" w:cs="Calibri"/>
        </w:rPr>
      </w:pPr>
    </w:p>
    <w:p w14:paraId="01D66A42" w14:textId="77777777" w:rsidR="00901EB5" w:rsidRDefault="00901EB5">
      <w:pPr>
        <w:spacing w:line="240" w:lineRule="exact"/>
        <w:rPr>
          <w:rFonts w:ascii="Calibri" w:eastAsia="Calibri" w:hAnsi="Calibri" w:cs="Calibri"/>
        </w:rPr>
      </w:pPr>
    </w:p>
    <w:p w14:paraId="19B707C6" w14:textId="77777777" w:rsidR="00901EB5" w:rsidRDefault="00901EB5">
      <w:pPr>
        <w:spacing w:line="240" w:lineRule="exact"/>
        <w:rPr>
          <w:rFonts w:ascii="Calibri" w:eastAsia="Calibri" w:hAnsi="Calibri" w:cs="Calibri"/>
        </w:rPr>
      </w:pPr>
    </w:p>
    <w:p w14:paraId="1DB1E757" w14:textId="77777777" w:rsidR="00901EB5" w:rsidRDefault="00901EB5">
      <w:pPr>
        <w:spacing w:line="240" w:lineRule="exact"/>
        <w:rPr>
          <w:rFonts w:ascii="Calibri" w:eastAsia="Calibri" w:hAnsi="Calibri" w:cs="Calibri"/>
        </w:rPr>
      </w:pPr>
    </w:p>
    <w:p w14:paraId="4D04A5C2" w14:textId="77777777" w:rsidR="00901EB5" w:rsidRDefault="00901EB5">
      <w:pPr>
        <w:spacing w:line="240" w:lineRule="exact"/>
        <w:rPr>
          <w:rFonts w:ascii="Calibri" w:eastAsia="Calibri" w:hAnsi="Calibri" w:cs="Calibri"/>
        </w:rPr>
      </w:pPr>
    </w:p>
    <w:p w14:paraId="4657E34F" w14:textId="77777777" w:rsidR="00901EB5" w:rsidRDefault="00901EB5">
      <w:pPr>
        <w:spacing w:line="240" w:lineRule="exact"/>
        <w:rPr>
          <w:rFonts w:ascii="Calibri" w:eastAsia="Calibri" w:hAnsi="Calibri" w:cs="Calibri"/>
        </w:rPr>
      </w:pPr>
    </w:p>
    <w:p w14:paraId="34B833C1" w14:textId="77777777" w:rsidR="00901EB5" w:rsidRDefault="00901EB5">
      <w:pPr>
        <w:spacing w:line="240" w:lineRule="exact"/>
        <w:rPr>
          <w:rFonts w:ascii="Calibri" w:eastAsia="Calibri" w:hAnsi="Calibri" w:cs="Calibri"/>
        </w:rPr>
      </w:pPr>
    </w:p>
    <w:p w14:paraId="19A635BA" w14:textId="77777777" w:rsidR="00901EB5" w:rsidRDefault="00901EB5">
      <w:pPr>
        <w:spacing w:line="240" w:lineRule="exact"/>
        <w:rPr>
          <w:rFonts w:ascii="Calibri" w:eastAsia="Calibri" w:hAnsi="Calibri" w:cs="Calibri"/>
        </w:rPr>
      </w:pPr>
    </w:p>
    <w:p w14:paraId="1867E668" w14:textId="77777777" w:rsidR="00901EB5" w:rsidRDefault="00901EB5">
      <w:pPr>
        <w:spacing w:line="240" w:lineRule="exact"/>
        <w:rPr>
          <w:rFonts w:ascii="Calibri" w:eastAsia="Calibri" w:hAnsi="Calibri" w:cs="Calibri"/>
        </w:rPr>
      </w:pPr>
    </w:p>
    <w:p w14:paraId="64FEE258" w14:textId="77777777" w:rsidR="00901EB5" w:rsidRDefault="00901EB5">
      <w:pPr>
        <w:spacing w:line="240" w:lineRule="exact"/>
        <w:rPr>
          <w:rFonts w:ascii="Calibri" w:eastAsia="Calibri" w:hAnsi="Calibri" w:cs="Calibri"/>
        </w:rPr>
      </w:pPr>
    </w:p>
    <w:p w14:paraId="213E3D83" w14:textId="77777777" w:rsidR="00901EB5" w:rsidRDefault="00901EB5">
      <w:pPr>
        <w:spacing w:line="240" w:lineRule="exact"/>
        <w:rPr>
          <w:rFonts w:ascii="Calibri" w:eastAsia="Calibri" w:hAnsi="Calibri" w:cs="Calibri"/>
        </w:rPr>
      </w:pPr>
    </w:p>
    <w:p w14:paraId="6BCA8183" w14:textId="77777777" w:rsidR="00901EB5" w:rsidRDefault="00901EB5">
      <w:pPr>
        <w:spacing w:line="240" w:lineRule="exact"/>
        <w:rPr>
          <w:rFonts w:ascii="Calibri" w:eastAsia="Calibri" w:hAnsi="Calibri" w:cs="Calibri"/>
        </w:rPr>
      </w:pPr>
    </w:p>
    <w:p w14:paraId="52D75DE6" w14:textId="77777777" w:rsidR="00901EB5" w:rsidRDefault="00901EB5">
      <w:pPr>
        <w:spacing w:line="240" w:lineRule="exact"/>
        <w:rPr>
          <w:rFonts w:ascii="Calibri" w:eastAsia="Calibri" w:hAnsi="Calibri" w:cs="Calibri"/>
        </w:rPr>
      </w:pPr>
    </w:p>
    <w:p w14:paraId="2B3A1C32" w14:textId="77777777" w:rsidR="00901EB5" w:rsidRDefault="00901EB5">
      <w:pPr>
        <w:spacing w:line="240" w:lineRule="exact"/>
        <w:rPr>
          <w:rFonts w:ascii="Calibri" w:eastAsia="Calibri" w:hAnsi="Calibri" w:cs="Calibri"/>
        </w:rPr>
      </w:pPr>
    </w:p>
    <w:p w14:paraId="6F586342" w14:textId="77777777" w:rsidR="00901EB5" w:rsidRDefault="00901EB5">
      <w:pPr>
        <w:spacing w:line="240" w:lineRule="exact"/>
        <w:rPr>
          <w:rFonts w:ascii="Calibri" w:eastAsia="Calibri" w:hAnsi="Calibri" w:cs="Calibri"/>
        </w:rPr>
      </w:pPr>
    </w:p>
    <w:p w14:paraId="2CE4C48D" w14:textId="77777777" w:rsidR="00901EB5" w:rsidRDefault="00901EB5">
      <w:pPr>
        <w:spacing w:line="240" w:lineRule="exact"/>
        <w:rPr>
          <w:rFonts w:ascii="Calibri" w:eastAsia="Calibri" w:hAnsi="Calibri" w:cs="Calibri"/>
        </w:rPr>
      </w:pPr>
    </w:p>
    <w:p w14:paraId="5F552C83" w14:textId="77777777" w:rsidR="00901EB5" w:rsidRDefault="00901EB5">
      <w:pPr>
        <w:spacing w:line="240" w:lineRule="exact"/>
        <w:rPr>
          <w:rFonts w:ascii="Calibri" w:eastAsia="Calibri" w:hAnsi="Calibri" w:cs="Calibri"/>
        </w:rPr>
      </w:pPr>
    </w:p>
    <w:p w14:paraId="61998EE1" w14:textId="77777777" w:rsidR="00901EB5" w:rsidRDefault="00901EB5">
      <w:pPr>
        <w:spacing w:line="240" w:lineRule="exact"/>
        <w:rPr>
          <w:rFonts w:ascii="Calibri" w:eastAsia="Calibri" w:hAnsi="Calibri" w:cs="Calibri"/>
        </w:rPr>
      </w:pPr>
    </w:p>
    <w:p w14:paraId="5B0B4027" w14:textId="77777777" w:rsidR="00901EB5" w:rsidRDefault="00901EB5">
      <w:pPr>
        <w:spacing w:line="240" w:lineRule="exact"/>
        <w:rPr>
          <w:rFonts w:ascii="Calibri" w:eastAsia="Calibri" w:hAnsi="Calibri" w:cs="Calibri"/>
        </w:rPr>
      </w:pPr>
    </w:p>
    <w:p w14:paraId="59A90004" w14:textId="77777777" w:rsidR="00901EB5" w:rsidRDefault="00901EB5">
      <w:pPr>
        <w:spacing w:line="240" w:lineRule="exact"/>
        <w:rPr>
          <w:rFonts w:ascii="Calibri" w:eastAsia="Calibri" w:hAnsi="Calibri" w:cs="Calibri"/>
        </w:rPr>
      </w:pPr>
    </w:p>
    <w:p w14:paraId="43729037" w14:textId="77777777" w:rsidR="00901EB5" w:rsidRDefault="00901EB5">
      <w:pPr>
        <w:spacing w:line="240" w:lineRule="exact"/>
        <w:rPr>
          <w:rFonts w:ascii="Calibri" w:eastAsia="Calibri" w:hAnsi="Calibri" w:cs="Calibri"/>
        </w:rPr>
      </w:pPr>
    </w:p>
    <w:p w14:paraId="1D136400" w14:textId="77777777" w:rsidR="00901EB5" w:rsidRDefault="00901EB5">
      <w:pPr>
        <w:spacing w:line="240" w:lineRule="exact"/>
        <w:rPr>
          <w:rFonts w:ascii="Calibri" w:eastAsia="Calibri" w:hAnsi="Calibri" w:cs="Calibri"/>
        </w:rPr>
      </w:pPr>
    </w:p>
    <w:p w14:paraId="0BF01B8F" w14:textId="77777777" w:rsidR="00901EB5" w:rsidRDefault="00901EB5">
      <w:pPr>
        <w:spacing w:line="240" w:lineRule="exact"/>
        <w:rPr>
          <w:rFonts w:ascii="Calibri" w:eastAsia="Calibri" w:hAnsi="Calibri" w:cs="Calibri"/>
        </w:rPr>
      </w:pPr>
    </w:p>
    <w:p w14:paraId="155E0256" w14:textId="77777777" w:rsidR="00901EB5" w:rsidRDefault="00901EB5">
      <w:pPr>
        <w:spacing w:line="240" w:lineRule="exact"/>
        <w:rPr>
          <w:rFonts w:ascii="Calibri" w:eastAsia="Calibri" w:hAnsi="Calibri" w:cs="Calibri"/>
        </w:rPr>
      </w:pPr>
    </w:p>
    <w:p w14:paraId="528C585C" w14:textId="77777777" w:rsidR="00901EB5" w:rsidRDefault="00901EB5">
      <w:pPr>
        <w:spacing w:line="240" w:lineRule="exact"/>
        <w:rPr>
          <w:rFonts w:ascii="Calibri" w:eastAsia="Calibri" w:hAnsi="Calibri" w:cs="Calibri"/>
        </w:rPr>
      </w:pPr>
    </w:p>
    <w:p w14:paraId="6D26A752" w14:textId="77777777" w:rsidR="00901EB5" w:rsidRDefault="00901EB5">
      <w:pPr>
        <w:spacing w:line="240" w:lineRule="exact"/>
        <w:rPr>
          <w:rFonts w:ascii="Calibri" w:eastAsia="Calibri" w:hAnsi="Calibri" w:cs="Calibri"/>
        </w:rPr>
      </w:pPr>
    </w:p>
    <w:p w14:paraId="7EEDF630" w14:textId="77777777" w:rsidR="00901EB5" w:rsidRDefault="00901EB5">
      <w:pPr>
        <w:spacing w:line="240" w:lineRule="exact"/>
        <w:rPr>
          <w:rFonts w:ascii="Calibri" w:eastAsia="Calibri" w:hAnsi="Calibri" w:cs="Calibri"/>
        </w:rPr>
      </w:pPr>
    </w:p>
    <w:p w14:paraId="0A0A83F4" w14:textId="77777777" w:rsidR="00901EB5" w:rsidRDefault="00901EB5">
      <w:pPr>
        <w:spacing w:line="240" w:lineRule="exact"/>
        <w:rPr>
          <w:rFonts w:ascii="Calibri" w:eastAsia="Calibri" w:hAnsi="Calibri" w:cs="Calibri"/>
        </w:rPr>
      </w:pPr>
    </w:p>
    <w:p w14:paraId="5074EC80" w14:textId="77777777" w:rsidR="00901EB5" w:rsidRDefault="00901EB5">
      <w:pPr>
        <w:spacing w:line="240" w:lineRule="exact"/>
        <w:rPr>
          <w:rFonts w:ascii="Calibri" w:eastAsia="Calibri" w:hAnsi="Calibri" w:cs="Calibri"/>
        </w:rPr>
      </w:pPr>
    </w:p>
    <w:p w14:paraId="30A1C191" w14:textId="77777777" w:rsidR="00901EB5" w:rsidRDefault="00901EB5">
      <w:pPr>
        <w:spacing w:line="240" w:lineRule="exact"/>
        <w:rPr>
          <w:rFonts w:ascii="Calibri" w:eastAsia="Calibri" w:hAnsi="Calibri" w:cs="Calibri"/>
        </w:rPr>
      </w:pPr>
    </w:p>
    <w:p w14:paraId="488BB410" w14:textId="77777777" w:rsidR="00901EB5" w:rsidRDefault="00901EB5"/>
    <w:p w14:paraId="3287A23B" w14:textId="77777777" w:rsidR="00377F7E" w:rsidRDefault="00377F7E"/>
    <w:p w14:paraId="186771CD" w14:textId="77777777" w:rsidR="00377F7E" w:rsidRDefault="00377F7E"/>
    <w:p w14:paraId="53857A12" w14:textId="77777777" w:rsidR="00377F7E" w:rsidRDefault="00377F7E"/>
    <w:p w14:paraId="42A8F202" w14:textId="77777777" w:rsidR="00B40E7B" w:rsidRDefault="00B40E7B"/>
    <w:p w14:paraId="66591F06" w14:textId="77777777" w:rsidR="00B40E7B" w:rsidRDefault="00B40E7B" w:rsidP="00B40E7B">
      <w:pPr>
        <w:tabs>
          <w:tab w:val="left" w:pos="1549"/>
        </w:tabs>
      </w:pPr>
      <w:r>
        <w:rPr>
          <w:rFonts w:ascii="Calibri" w:eastAsia="Calibri" w:hAnsi="Calibri" w:cs="Calibri"/>
          <w:b/>
          <w:bCs/>
          <w:color w:val="44546A"/>
          <w:sz w:val="36"/>
          <w:szCs w:val="36"/>
        </w:rPr>
        <w:t>Risk to Thesis</w:t>
      </w:r>
    </w:p>
    <w:p w14:paraId="04082364" w14:textId="77777777" w:rsidR="00B40E7B" w:rsidRDefault="00B40E7B" w:rsidP="00B40E7B">
      <w:pPr>
        <w:tabs>
          <w:tab w:val="left" w:pos="1549"/>
        </w:tabs>
      </w:pPr>
    </w:p>
    <w:p w14:paraId="4742709F" w14:textId="77777777" w:rsidR="00B40E7B" w:rsidRDefault="00B40E7B" w:rsidP="00B40E7B">
      <w:pPr>
        <w:rPr>
          <w:rFonts w:ascii="Times New Roman" w:hAnsi="Times New Roman" w:cs="Times New Roman"/>
          <w:b/>
          <w:u w:val="single"/>
        </w:rPr>
      </w:pPr>
      <w:r>
        <w:rPr>
          <w:rFonts w:ascii="Times New Roman" w:hAnsi="Times New Roman" w:cs="Times New Roman"/>
          <w:b/>
          <w:u w:val="single"/>
        </w:rPr>
        <w:t>Threats to sector:</w:t>
      </w:r>
    </w:p>
    <w:p w14:paraId="5AE74D91" w14:textId="77777777" w:rsidR="00B40E7B" w:rsidRDefault="00B40E7B" w:rsidP="00B40E7B">
      <w:pPr>
        <w:rPr>
          <w:rFonts w:ascii="Times New Roman" w:hAnsi="Times New Roman" w:cs="Times New Roman"/>
          <w:i/>
        </w:rPr>
      </w:pPr>
    </w:p>
    <w:p w14:paraId="76978A4A" w14:textId="77777777" w:rsidR="00B40E7B" w:rsidRPr="00575C54" w:rsidRDefault="00B40E7B" w:rsidP="00B40E7B">
      <w:pPr>
        <w:rPr>
          <w:rFonts w:ascii="Times New Roman" w:hAnsi="Times New Roman" w:cs="Times New Roman"/>
          <w:i/>
        </w:rPr>
      </w:pPr>
      <w:r w:rsidRPr="00575C54">
        <w:rPr>
          <w:rFonts w:ascii="Times New Roman" w:hAnsi="Times New Roman" w:cs="Times New Roman"/>
          <w:i/>
        </w:rPr>
        <w:t xml:space="preserve">Consolidation of the market by major </w:t>
      </w:r>
      <w:r w:rsidR="0099366B" w:rsidRPr="00575C54">
        <w:rPr>
          <w:rFonts w:ascii="Times New Roman" w:hAnsi="Times New Roman" w:cs="Times New Roman"/>
          <w:i/>
        </w:rPr>
        <w:t>players, e.g</w:t>
      </w:r>
      <w:r w:rsidRPr="00575C54">
        <w:rPr>
          <w:rFonts w:ascii="Times New Roman" w:hAnsi="Times New Roman" w:cs="Times New Roman"/>
          <w:i/>
        </w:rPr>
        <w:t>. Amazon</w:t>
      </w:r>
    </w:p>
    <w:p w14:paraId="2EA13830" w14:textId="77777777" w:rsidR="00776030" w:rsidRDefault="00776030" w:rsidP="00B40E7B">
      <w:pPr>
        <w:rPr>
          <w:rFonts w:ascii="Times New Roman" w:hAnsi="Times New Roman" w:cs="Times New Roman"/>
        </w:rPr>
      </w:pPr>
      <w:r>
        <w:rPr>
          <w:rFonts w:ascii="Times New Roman" w:hAnsi="Times New Roman" w:cs="Times New Roman"/>
        </w:rPr>
        <w:t>There is the potential for a fall in demand for Urban Logistics’ warehouse</w:t>
      </w:r>
      <w:r w:rsidR="0099366B">
        <w:rPr>
          <w:rFonts w:ascii="Times New Roman" w:hAnsi="Times New Roman" w:cs="Times New Roman"/>
        </w:rPr>
        <w:t xml:space="preserve"> space</w:t>
      </w:r>
      <w:r>
        <w:rPr>
          <w:rFonts w:ascii="Times New Roman" w:hAnsi="Times New Roman" w:cs="Times New Roman"/>
        </w:rPr>
        <w:t xml:space="preserve"> brought about by consolidation of the retail market by a major player, most likely Amazon. I</w:t>
      </w:r>
      <w:r w:rsidR="008B11B3">
        <w:rPr>
          <w:rFonts w:ascii="Times New Roman" w:hAnsi="Times New Roman" w:cs="Times New Roman"/>
        </w:rPr>
        <w:t>n the future it is possible that retailers, that currently make up Urban Logistics’ tenant bases, are attracted to Amazon’s retail portal and a network of warehouses owned by Amazon. This would require a vast expansion of Amazon’s current ownership of warehouses.</w:t>
      </w:r>
    </w:p>
    <w:p w14:paraId="79F5544A" w14:textId="77777777" w:rsidR="00776030" w:rsidRDefault="00776030" w:rsidP="00B40E7B">
      <w:pPr>
        <w:rPr>
          <w:rFonts w:ascii="Times New Roman" w:hAnsi="Times New Roman" w:cs="Times New Roman"/>
          <w:i/>
        </w:rPr>
      </w:pPr>
    </w:p>
    <w:p w14:paraId="53AF8654" w14:textId="77777777" w:rsidR="00B40E7B" w:rsidRDefault="00B40E7B" w:rsidP="00B40E7B">
      <w:pPr>
        <w:rPr>
          <w:rFonts w:ascii="Times New Roman" w:hAnsi="Times New Roman" w:cs="Times New Roman"/>
          <w:i/>
        </w:rPr>
      </w:pPr>
      <w:r>
        <w:rPr>
          <w:rFonts w:ascii="Times New Roman" w:hAnsi="Times New Roman" w:cs="Times New Roman"/>
          <w:i/>
        </w:rPr>
        <w:t>Overestimating impact of e-commerce on growth</w:t>
      </w:r>
    </w:p>
    <w:p w14:paraId="0FC130A4" w14:textId="77777777" w:rsidR="00B40E7B" w:rsidRDefault="008B11B3" w:rsidP="00B40E7B">
      <w:pPr>
        <w:rPr>
          <w:rFonts w:ascii="Times New Roman" w:hAnsi="Times New Roman" w:cs="Times New Roman"/>
        </w:rPr>
      </w:pPr>
      <w:r>
        <w:rPr>
          <w:rFonts w:ascii="Times New Roman" w:hAnsi="Times New Roman" w:cs="Times New Roman"/>
        </w:rPr>
        <w:t>There is the p</w:t>
      </w:r>
      <w:r w:rsidR="00B40E7B">
        <w:rPr>
          <w:rFonts w:ascii="Times New Roman" w:hAnsi="Times New Roman" w:cs="Times New Roman"/>
        </w:rPr>
        <w:t xml:space="preserve">ossibility that </w:t>
      </w:r>
      <w:r>
        <w:rPr>
          <w:rFonts w:ascii="Times New Roman" w:hAnsi="Times New Roman" w:cs="Times New Roman"/>
        </w:rPr>
        <w:t>we are misinterpreting the demand derived from the business cycle/ Brexit stockpiling as proof of a growth in ecommerce related demand.</w:t>
      </w:r>
      <w:r w:rsidR="0099366B">
        <w:rPr>
          <w:rFonts w:ascii="Times New Roman" w:hAnsi="Times New Roman" w:cs="Times New Roman"/>
        </w:rPr>
        <w:t xml:space="preserve"> If this is the case then our assumptions on future growth and rental yields are misleading.</w:t>
      </w:r>
    </w:p>
    <w:p w14:paraId="0173BB2E" w14:textId="77777777" w:rsidR="008B11B3" w:rsidRDefault="008B11B3" w:rsidP="00B40E7B">
      <w:pPr>
        <w:rPr>
          <w:rFonts w:ascii="Times New Roman" w:hAnsi="Times New Roman" w:cs="Times New Roman"/>
        </w:rPr>
      </w:pPr>
    </w:p>
    <w:p w14:paraId="4FE07EA5" w14:textId="77777777" w:rsidR="000572D9" w:rsidRPr="000572D9" w:rsidRDefault="000572D9" w:rsidP="00B40E7B">
      <w:pPr>
        <w:rPr>
          <w:rFonts w:ascii="Times New Roman" w:hAnsi="Times New Roman" w:cs="Times New Roman"/>
          <w:i/>
          <w:iCs/>
        </w:rPr>
      </w:pPr>
      <w:r>
        <w:rPr>
          <w:rFonts w:ascii="Times New Roman" w:hAnsi="Times New Roman" w:cs="Times New Roman"/>
          <w:i/>
          <w:iCs/>
        </w:rPr>
        <w:t>e-commerce related demand sensitive to economic downturns</w:t>
      </w:r>
    </w:p>
    <w:p w14:paraId="72675CDA" w14:textId="77777777" w:rsidR="003F5304" w:rsidRDefault="000572D9" w:rsidP="00B40E7B">
      <w:pPr>
        <w:rPr>
          <w:rFonts w:ascii="Times New Roman" w:hAnsi="Times New Roman" w:cs="Times New Roman"/>
        </w:rPr>
      </w:pPr>
      <w:r>
        <w:rPr>
          <w:rFonts w:ascii="Times New Roman" w:hAnsi="Times New Roman" w:cs="Times New Roman"/>
        </w:rPr>
        <w:t>At this stage it is difficult to predict how sensitive e-commerce retail is to economic downturns. If demand is sensitive and in future the proportion of tenants reliant on e-commerce represents a majority of</w:t>
      </w:r>
      <w:r w:rsidR="0099366B">
        <w:rPr>
          <w:rFonts w:ascii="Times New Roman" w:hAnsi="Times New Roman" w:cs="Times New Roman"/>
        </w:rPr>
        <w:t xml:space="preserve"> Urban Logistics</w:t>
      </w:r>
      <w:r>
        <w:rPr>
          <w:rFonts w:ascii="Times New Roman" w:hAnsi="Times New Roman" w:cs="Times New Roman"/>
        </w:rPr>
        <w:t xml:space="preserve"> income, then our assumption of future </w:t>
      </w:r>
      <w:r w:rsidR="003F5304">
        <w:rPr>
          <w:rFonts w:ascii="Times New Roman" w:hAnsi="Times New Roman" w:cs="Times New Roman"/>
        </w:rPr>
        <w:t xml:space="preserve">tenant </w:t>
      </w:r>
      <w:r>
        <w:rPr>
          <w:rFonts w:ascii="Times New Roman" w:hAnsi="Times New Roman" w:cs="Times New Roman"/>
        </w:rPr>
        <w:t xml:space="preserve">risk is likely </w:t>
      </w:r>
      <w:r w:rsidR="0099366B">
        <w:rPr>
          <w:rFonts w:ascii="Times New Roman" w:hAnsi="Times New Roman" w:cs="Times New Roman"/>
        </w:rPr>
        <w:t xml:space="preserve">wrong. </w:t>
      </w:r>
    </w:p>
    <w:p w14:paraId="0262057E" w14:textId="77777777" w:rsidR="003F5304" w:rsidRDefault="003F5304" w:rsidP="00B40E7B">
      <w:pPr>
        <w:rPr>
          <w:rFonts w:ascii="Times New Roman" w:hAnsi="Times New Roman" w:cs="Times New Roman"/>
          <w:i/>
        </w:rPr>
      </w:pPr>
    </w:p>
    <w:p w14:paraId="057974A4" w14:textId="77777777" w:rsidR="00B40E7B" w:rsidRDefault="00B40E7B" w:rsidP="00B40E7B">
      <w:pPr>
        <w:rPr>
          <w:rFonts w:ascii="Times New Roman" w:hAnsi="Times New Roman" w:cs="Times New Roman"/>
          <w:i/>
        </w:rPr>
      </w:pPr>
      <w:r w:rsidRPr="00A97BE2">
        <w:rPr>
          <w:rFonts w:ascii="Times New Roman" w:hAnsi="Times New Roman" w:cs="Times New Roman"/>
          <w:i/>
        </w:rPr>
        <w:t>Generic recession/Brexit threat</w:t>
      </w:r>
    </w:p>
    <w:p w14:paraId="1F7C5E19" w14:textId="77777777" w:rsidR="000572D9" w:rsidRDefault="000572D9" w:rsidP="00B40E7B">
      <w:pPr>
        <w:rPr>
          <w:rFonts w:ascii="Times New Roman" w:hAnsi="Times New Roman" w:cs="Times New Roman"/>
        </w:rPr>
      </w:pPr>
      <w:r>
        <w:rPr>
          <w:rFonts w:ascii="Times New Roman" w:hAnsi="Times New Roman" w:cs="Times New Roman"/>
        </w:rPr>
        <w:t xml:space="preserve">Falling Vacancy rates and rising </w:t>
      </w:r>
      <w:r w:rsidR="0099366B">
        <w:rPr>
          <w:rFonts w:ascii="Times New Roman" w:hAnsi="Times New Roman" w:cs="Times New Roman"/>
        </w:rPr>
        <w:t>rents</w:t>
      </w:r>
      <w:r>
        <w:rPr>
          <w:rFonts w:ascii="Times New Roman" w:hAnsi="Times New Roman" w:cs="Times New Roman"/>
        </w:rPr>
        <w:t xml:space="preserve"> may, instead of representing a secular shift, be the symptoms of an overheating market. If we have misinterpreted these signs and last mile warehousing is indeed headed towards recession, then our conviction in </w:t>
      </w:r>
      <w:r w:rsidR="00A37077">
        <w:rPr>
          <w:rFonts w:ascii="Times New Roman" w:hAnsi="Times New Roman" w:cs="Times New Roman"/>
        </w:rPr>
        <w:t>rising rents is misplaced.</w:t>
      </w:r>
    </w:p>
    <w:p w14:paraId="01329721" w14:textId="77777777" w:rsidR="000572D9" w:rsidRDefault="000572D9" w:rsidP="00B40E7B">
      <w:pPr>
        <w:rPr>
          <w:rFonts w:ascii="Times New Roman" w:hAnsi="Times New Roman" w:cs="Times New Roman"/>
        </w:rPr>
      </w:pPr>
    </w:p>
    <w:p w14:paraId="0CDC7E1B" w14:textId="77777777" w:rsidR="00B40E7B" w:rsidRPr="00575C54" w:rsidRDefault="00B40E7B" w:rsidP="00B40E7B">
      <w:pPr>
        <w:rPr>
          <w:rFonts w:ascii="Times New Roman" w:hAnsi="Times New Roman" w:cs="Times New Roman"/>
          <w:i/>
        </w:rPr>
      </w:pPr>
      <w:r w:rsidRPr="00575C54">
        <w:rPr>
          <w:rFonts w:ascii="Times New Roman" w:hAnsi="Times New Roman" w:cs="Times New Roman"/>
          <w:i/>
        </w:rPr>
        <w:t>A paradigm shift away from last-mile-friendly business models</w:t>
      </w:r>
    </w:p>
    <w:p w14:paraId="01DE9AFB" w14:textId="77777777" w:rsidR="00B40E7B" w:rsidRDefault="00A37077" w:rsidP="00B40E7B">
      <w:pPr>
        <w:rPr>
          <w:rFonts w:ascii="Times New Roman" w:hAnsi="Times New Roman" w:cs="Times New Roman"/>
        </w:rPr>
      </w:pPr>
      <w:r>
        <w:rPr>
          <w:rFonts w:ascii="Times New Roman" w:hAnsi="Times New Roman" w:cs="Times New Roman"/>
        </w:rPr>
        <w:t>An example of this would be increasing environmentalism leading to a fall in the acceptability of one/same day delivery. This would significantly reduce demand for last mile warehousing space and significantly disrupt the business model of companies such as Urban Logistics.</w:t>
      </w:r>
    </w:p>
    <w:p w14:paraId="53EC4941" w14:textId="77777777" w:rsidR="00A37077" w:rsidRDefault="00A37077" w:rsidP="00B40E7B">
      <w:pPr>
        <w:rPr>
          <w:rFonts w:ascii="Times New Roman" w:hAnsi="Times New Roman" w:cs="Times New Roman"/>
          <w:b/>
          <w:u w:val="single"/>
        </w:rPr>
      </w:pPr>
    </w:p>
    <w:p w14:paraId="2AC313B1" w14:textId="77777777" w:rsidR="00B40E7B" w:rsidRPr="00222AD1" w:rsidRDefault="00B40E7B" w:rsidP="00B40E7B">
      <w:pPr>
        <w:rPr>
          <w:rFonts w:ascii="Times New Roman" w:hAnsi="Times New Roman" w:cs="Times New Roman"/>
          <w:b/>
          <w:u w:val="single"/>
        </w:rPr>
      </w:pPr>
      <w:r>
        <w:rPr>
          <w:rFonts w:ascii="Times New Roman" w:hAnsi="Times New Roman" w:cs="Times New Roman"/>
          <w:b/>
          <w:u w:val="single"/>
        </w:rPr>
        <w:t>Threats to Urban Logistics:</w:t>
      </w:r>
    </w:p>
    <w:p w14:paraId="18D725F3" w14:textId="77777777" w:rsidR="00B40E7B" w:rsidRDefault="00B40E7B" w:rsidP="00B40E7B">
      <w:pPr>
        <w:rPr>
          <w:rFonts w:ascii="Times New Roman" w:hAnsi="Times New Roman" w:cs="Times New Roman"/>
          <w:i/>
        </w:rPr>
      </w:pPr>
    </w:p>
    <w:p w14:paraId="10D79B0B" w14:textId="77777777" w:rsidR="00B40E7B" w:rsidRDefault="00B40E7B" w:rsidP="00B40E7B">
      <w:pPr>
        <w:rPr>
          <w:rFonts w:ascii="Times New Roman" w:hAnsi="Times New Roman" w:cs="Times New Roman"/>
          <w:i/>
        </w:rPr>
      </w:pPr>
      <w:r w:rsidRPr="00575C54">
        <w:rPr>
          <w:rFonts w:ascii="Times New Roman" w:hAnsi="Times New Roman" w:cs="Times New Roman"/>
          <w:i/>
        </w:rPr>
        <w:t>Massive increase in zoning allocated to last mile warehousing, oversupply that bigger players are more able to take advantage of:</w:t>
      </w:r>
    </w:p>
    <w:p w14:paraId="3A63BE94" w14:textId="77777777" w:rsidR="00A02E3A" w:rsidRDefault="00A37077" w:rsidP="00B40E7B">
      <w:pPr>
        <w:rPr>
          <w:rFonts w:ascii="Times New Roman" w:hAnsi="Times New Roman" w:cs="Times New Roman"/>
          <w:iCs/>
        </w:rPr>
      </w:pPr>
      <w:r>
        <w:rPr>
          <w:rFonts w:ascii="Times New Roman" w:hAnsi="Times New Roman" w:cs="Times New Roman"/>
          <w:iCs/>
        </w:rPr>
        <w:t>As predicted by UKWA, if there was an increase in last mile zoning there would likely be a proliferation of acquisition activity. As a relatively small company</w:t>
      </w:r>
      <w:r w:rsidR="00A02E3A">
        <w:rPr>
          <w:rFonts w:ascii="Times New Roman" w:hAnsi="Times New Roman" w:cs="Times New Roman"/>
          <w:iCs/>
        </w:rPr>
        <w:t>,</w:t>
      </w:r>
      <w:r>
        <w:rPr>
          <w:rFonts w:ascii="Times New Roman" w:hAnsi="Times New Roman" w:cs="Times New Roman"/>
          <w:iCs/>
        </w:rPr>
        <w:t xml:space="preserve"> without the ability to raise as much </w:t>
      </w:r>
      <w:r w:rsidR="00A02E3A">
        <w:rPr>
          <w:rFonts w:ascii="Times New Roman" w:hAnsi="Times New Roman" w:cs="Times New Roman"/>
          <w:iCs/>
        </w:rPr>
        <w:t>debt</w:t>
      </w:r>
      <w:r>
        <w:rPr>
          <w:rFonts w:ascii="Times New Roman" w:hAnsi="Times New Roman" w:cs="Times New Roman"/>
          <w:iCs/>
        </w:rPr>
        <w:t xml:space="preserve"> as larger competitors such as SEGRO, Urban Logistics would </w:t>
      </w:r>
      <w:r w:rsidR="00A02E3A">
        <w:rPr>
          <w:rFonts w:ascii="Times New Roman" w:hAnsi="Times New Roman" w:cs="Times New Roman"/>
          <w:iCs/>
        </w:rPr>
        <w:t>be at a significant disadvantage relative to its competitors as it would be forced to instead go through the slower process of raising equity.</w:t>
      </w:r>
    </w:p>
    <w:p w14:paraId="1F92F57B" w14:textId="77777777" w:rsidR="00B40E7B" w:rsidRDefault="00B40E7B" w:rsidP="00B40E7B">
      <w:pPr>
        <w:rPr>
          <w:rFonts w:ascii="Times New Roman" w:hAnsi="Times New Roman" w:cs="Times New Roman"/>
          <w:i/>
        </w:rPr>
      </w:pPr>
    </w:p>
    <w:p w14:paraId="63E02E9F" w14:textId="77777777" w:rsidR="00B40E7B" w:rsidRDefault="00A02E3A" w:rsidP="00B40E7B">
      <w:pPr>
        <w:rPr>
          <w:rFonts w:ascii="Times New Roman" w:hAnsi="Times New Roman" w:cs="Times New Roman"/>
          <w:i/>
        </w:rPr>
      </w:pPr>
      <w:r>
        <w:rPr>
          <w:rFonts w:ascii="Times New Roman" w:hAnsi="Times New Roman" w:cs="Times New Roman"/>
          <w:i/>
        </w:rPr>
        <w:t xml:space="preserve">Short </w:t>
      </w:r>
      <w:r w:rsidR="00B40E7B" w:rsidRPr="00575C54">
        <w:rPr>
          <w:rFonts w:ascii="Times New Roman" w:hAnsi="Times New Roman" w:cs="Times New Roman"/>
          <w:i/>
        </w:rPr>
        <w:t>WAULT</w:t>
      </w:r>
      <w:r>
        <w:rPr>
          <w:rFonts w:ascii="Times New Roman" w:hAnsi="Times New Roman" w:cs="Times New Roman"/>
          <w:i/>
        </w:rPr>
        <w:t xml:space="preserve"> relative to competitors</w:t>
      </w:r>
    </w:p>
    <w:p w14:paraId="2A6979C8" w14:textId="77777777" w:rsidR="00A02E3A" w:rsidRDefault="00A02E3A" w:rsidP="00A02E3A">
      <w:pPr>
        <w:rPr>
          <w:rFonts w:ascii="Times New Roman" w:hAnsi="Times New Roman" w:cs="Times New Roman"/>
        </w:rPr>
      </w:pPr>
      <w:r>
        <w:rPr>
          <w:rFonts w:ascii="Times New Roman" w:hAnsi="Times New Roman" w:cs="Times New Roman"/>
        </w:rPr>
        <w:t>The Weighted average unexpired lease term of Urban Logistics (5.1 years to first break &amp; 4.4 years excluding a single long lease non last mile asset)</w:t>
      </w:r>
      <w:r w:rsidR="00B40E7B">
        <w:rPr>
          <w:rFonts w:ascii="Times New Roman" w:hAnsi="Times New Roman" w:cs="Times New Roman"/>
        </w:rPr>
        <w:t xml:space="preserve"> </w:t>
      </w:r>
      <w:r>
        <w:rPr>
          <w:rFonts w:ascii="Times New Roman" w:hAnsi="Times New Roman" w:cs="Times New Roman"/>
        </w:rPr>
        <w:t>is significantly lower than many competitors. Almost a third of leases expire within three years, and therefore if management is not able to negotiate rental uplifts as expected, Urban Logistics will quickly face a falling occupancy rate.</w:t>
      </w:r>
    </w:p>
    <w:p w14:paraId="2B71B657" w14:textId="77777777" w:rsidR="00B40E7B" w:rsidRDefault="00B40E7B" w:rsidP="00B40E7B">
      <w:pPr>
        <w:rPr>
          <w:rFonts w:ascii="Times New Roman" w:hAnsi="Times New Roman" w:cs="Times New Roman"/>
        </w:rPr>
      </w:pPr>
    </w:p>
    <w:p w14:paraId="446CE26D" w14:textId="77777777" w:rsidR="00A02E3A" w:rsidRPr="00A02E3A" w:rsidRDefault="00A02E3A" w:rsidP="00B40E7B">
      <w:pPr>
        <w:rPr>
          <w:rFonts w:ascii="Times New Roman" w:hAnsi="Times New Roman" w:cs="Times New Roman"/>
          <w:i/>
          <w:iCs/>
        </w:rPr>
      </w:pPr>
      <w:r>
        <w:rPr>
          <w:rFonts w:ascii="Times New Roman" w:hAnsi="Times New Roman" w:cs="Times New Roman"/>
          <w:i/>
          <w:iCs/>
        </w:rPr>
        <w:lastRenderedPageBreak/>
        <w:t>Capital Values near replacement costs</w:t>
      </w:r>
    </w:p>
    <w:p w14:paraId="203739A1" w14:textId="77777777" w:rsidR="00B40E7B" w:rsidRDefault="00B40E7B" w:rsidP="00B40E7B">
      <w:pPr>
        <w:rPr>
          <w:rFonts w:ascii="Times New Roman" w:hAnsi="Times New Roman" w:cs="Times New Roman"/>
        </w:rPr>
      </w:pPr>
      <w:r>
        <w:rPr>
          <w:rFonts w:ascii="Times New Roman" w:hAnsi="Times New Roman" w:cs="Times New Roman"/>
        </w:rPr>
        <w:t>Capital value</w:t>
      </w:r>
      <w:r w:rsidR="00A02E3A">
        <w:rPr>
          <w:rFonts w:ascii="Times New Roman" w:hAnsi="Times New Roman" w:cs="Times New Roman"/>
        </w:rPr>
        <w:t>s are currently around £80 per sqft, whilst replacement cost is around £120 sqft. This differential allows management to operate its investment policy of pursuing acquisitions at</w:t>
      </w:r>
      <w:r>
        <w:rPr>
          <w:rFonts w:ascii="Times New Roman" w:hAnsi="Times New Roman" w:cs="Times New Roman"/>
        </w:rPr>
        <w:t xml:space="preserve"> </w:t>
      </w:r>
      <w:r w:rsidR="00A02E3A">
        <w:rPr>
          <w:rFonts w:ascii="Times New Roman" w:hAnsi="Times New Roman" w:cs="Times New Roman"/>
        </w:rPr>
        <w:t xml:space="preserve">30%-70% of replacement cost. As the market adjusts to raise capital values to around replacement costs, there is the threat that management continues its expansionary policy outside of the 30%-70% range. If management </w:t>
      </w:r>
      <w:r w:rsidR="009E4B9B">
        <w:rPr>
          <w:rFonts w:ascii="Times New Roman" w:hAnsi="Times New Roman" w:cs="Times New Roman"/>
        </w:rPr>
        <w:t xml:space="preserve">does pursue an empire building approach to expansion, rather than attempting to maximise shareholder value, the ability of Urban Logistics to generate returns for shareholders will significantly diminish. </w:t>
      </w:r>
    </w:p>
    <w:p w14:paraId="01AA9AA7" w14:textId="77777777" w:rsidR="00A825B0" w:rsidRDefault="00A825B0" w:rsidP="00B40E7B">
      <w:pPr>
        <w:rPr>
          <w:rFonts w:ascii="Times New Roman" w:hAnsi="Times New Roman" w:cs="Times New Roman"/>
        </w:rPr>
      </w:pPr>
    </w:p>
    <w:p w14:paraId="08FB9EE3" w14:textId="77777777" w:rsidR="00A825B0" w:rsidRDefault="008C6DBF" w:rsidP="00B40E7B">
      <w:pPr>
        <w:rPr>
          <w:rFonts w:ascii="Times New Roman" w:hAnsi="Times New Roman" w:cs="Times New Roman"/>
          <w:i/>
          <w:iCs/>
        </w:rPr>
      </w:pPr>
      <w:r>
        <w:rPr>
          <w:rFonts w:ascii="Times New Roman" w:hAnsi="Times New Roman" w:cs="Times New Roman"/>
          <w:i/>
          <w:iCs/>
        </w:rPr>
        <w:t>Management Leave their roles</w:t>
      </w:r>
    </w:p>
    <w:p w14:paraId="380B1002" w14:textId="77777777" w:rsidR="008C6DBF" w:rsidRPr="008C6DBF" w:rsidRDefault="008C6DBF" w:rsidP="00B40E7B">
      <w:pPr>
        <w:rPr>
          <w:rFonts w:ascii="Times New Roman" w:hAnsi="Times New Roman" w:cs="Times New Roman"/>
        </w:rPr>
      </w:pPr>
      <w:r>
        <w:rPr>
          <w:rFonts w:ascii="Times New Roman" w:hAnsi="Times New Roman" w:cs="Times New Roman"/>
        </w:rPr>
        <w:t xml:space="preserve">The ability of Urban Logistics to acquire properties at 30%-70% of their replacement cost, and engage in value accretive asset management, relies heavily on the </w:t>
      </w:r>
      <w:r w:rsidR="009E4B9B">
        <w:rPr>
          <w:rFonts w:ascii="Times New Roman" w:hAnsi="Times New Roman" w:cs="Times New Roman"/>
        </w:rPr>
        <w:t>cap</w:t>
      </w:r>
      <w:r>
        <w:rPr>
          <w:rFonts w:ascii="Times New Roman" w:hAnsi="Times New Roman" w:cs="Times New Roman"/>
        </w:rPr>
        <w:t xml:space="preserve">ability and experience of management. If the current management team were to leave for any reason this </w:t>
      </w:r>
      <w:r w:rsidR="00776030">
        <w:rPr>
          <w:rFonts w:ascii="Times New Roman" w:hAnsi="Times New Roman" w:cs="Times New Roman"/>
        </w:rPr>
        <w:t>c</w:t>
      </w:r>
      <w:r>
        <w:rPr>
          <w:rFonts w:ascii="Times New Roman" w:hAnsi="Times New Roman" w:cs="Times New Roman"/>
        </w:rPr>
        <w:t>ould sign</w:t>
      </w:r>
      <w:r w:rsidR="00776030">
        <w:rPr>
          <w:rFonts w:ascii="Times New Roman" w:hAnsi="Times New Roman" w:cs="Times New Roman"/>
        </w:rPr>
        <w:t xml:space="preserve">ificantly </w:t>
      </w:r>
      <w:r w:rsidR="009E4B9B">
        <w:rPr>
          <w:rFonts w:ascii="Times New Roman" w:hAnsi="Times New Roman" w:cs="Times New Roman"/>
        </w:rPr>
        <w:t>reduce the company’s ability to continue to generate returns for shareholders.</w:t>
      </w:r>
    </w:p>
    <w:p w14:paraId="1B71E746" w14:textId="77777777" w:rsidR="00776030" w:rsidRDefault="00776030" w:rsidP="00B40E7B">
      <w:pPr>
        <w:rPr>
          <w:rFonts w:ascii="Times New Roman" w:hAnsi="Times New Roman" w:cs="Times New Roman"/>
          <w:b/>
          <w:bCs/>
        </w:rPr>
      </w:pPr>
    </w:p>
    <w:p w14:paraId="7BC228B7" w14:textId="77777777" w:rsidR="00776030" w:rsidRDefault="00776030" w:rsidP="00B40E7B">
      <w:pPr>
        <w:rPr>
          <w:rFonts w:ascii="Times New Roman" w:hAnsi="Times New Roman" w:cs="Times New Roman"/>
          <w:b/>
          <w:bCs/>
        </w:rPr>
      </w:pPr>
    </w:p>
    <w:p w14:paraId="62A0EED6" w14:textId="77777777" w:rsidR="00B40E7B" w:rsidRDefault="00776030" w:rsidP="00B40E7B">
      <w:pPr>
        <w:tabs>
          <w:tab w:val="left" w:pos="1549"/>
        </w:tabs>
        <w:rPr>
          <w:rFonts w:ascii="Times New Roman" w:hAnsi="Times New Roman" w:cs="Times New Roman"/>
          <w:b/>
          <w:bCs/>
          <w:u w:val="single"/>
        </w:rPr>
      </w:pPr>
      <w:r>
        <w:rPr>
          <w:rFonts w:ascii="Times New Roman" w:hAnsi="Times New Roman" w:cs="Times New Roman"/>
          <w:b/>
          <w:bCs/>
          <w:u w:val="single"/>
        </w:rPr>
        <w:t>Potential of analysis error</w:t>
      </w:r>
    </w:p>
    <w:p w14:paraId="52F77968" w14:textId="77777777" w:rsidR="00776030" w:rsidRDefault="00776030" w:rsidP="00B40E7B">
      <w:pPr>
        <w:tabs>
          <w:tab w:val="left" w:pos="1549"/>
        </w:tabs>
        <w:rPr>
          <w:rFonts w:ascii="Times New Roman" w:hAnsi="Times New Roman" w:cs="Times New Roman"/>
          <w:b/>
          <w:bCs/>
          <w:u w:val="single"/>
        </w:rPr>
      </w:pPr>
    </w:p>
    <w:p w14:paraId="7AF979AC" w14:textId="77777777" w:rsidR="00776030" w:rsidRPr="00776030" w:rsidRDefault="00776030" w:rsidP="00B40E7B">
      <w:pPr>
        <w:tabs>
          <w:tab w:val="left" w:pos="1549"/>
        </w:tabs>
      </w:pPr>
      <w:r>
        <w:rPr>
          <w:rFonts w:ascii="Times New Roman" w:hAnsi="Times New Roman" w:cs="Times New Roman"/>
        </w:rPr>
        <w:t>It is additionally possible that we have come to the wrong conclusions on Urban Logistics. This may have occurred due to our misinterpreting or lack of discovery of crucial piece of information. Whilst we strongly believe in the validity of our analysis, and conclusions reached, there is always the possibility for research errors.</w:t>
      </w:r>
    </w:p>
    <w:p w14:paraId="4FBDB518" w14:textId="77777777" w:rsidR="00A825B0" w:rsidRDefault="00A825B0" w:rsidP="00B40E7B">
      <w:pPr>
        <w:tabs>
          <w:tab w:val="left" w:pos="1549"/>
        </w:tabs>
      </w:pPr>
    </w:p>
    <w:p w14:paraId="6AF1CE8B" w14:textId="77777777" w:rsidR="00901EB5" w:rsidRDefault="008B48BC">
      <w:pPr>
        <w:spacing w:line="240" w:lineRule="exact"/>
        <w:rPr>
          <w:rFonts w:ascii="Times New Roman" w:eastAsia="Times New Roman" w:hAnsi="Times New Roman" w:cs="Times New Roman"/>
        </w:rPr>
      </w:pPr>
      <w:r>
        <w:rPr>
          <w:noProof/>
        </w:rPr>
        <mc:AlternateContent>
          <mc:Choice Requires="wps">
            <w:drawing>
              <wp:anchor distT="0" distB="0" distL="0" distR="0" simplePos="0" relativeHeight="251636224" behindDoc="1" locked="0" layoutInCell="0" allowOverlap="1" wp14:anchorId="07E8ECB7" wp14:editId="0DCDD4B1">
                <wp:simplePos x="0" y="0"/>
                <wp:positionH relativeFrom="page">
                  <wp:posOffset>0</wp:posOffset>
                </wp:positionH>
                <wp:positionV relativeFrom="page">
                  <wp:posOffset>9536092</wp:posOffset>
                </wp:positionV>
                <wp:extent cx="6858000" cy="0"/>
                <wp:effectExtent l="0" t="0" r="0" b="0"/>
                <wp:wrapNone/>
                <wp:docPr id="35" name="drawingObject35"/>
                <wp:cNvGraphicFramePr/>
                <a:graphic xmlns:a="http://schemas.openxmlformats.org/drawingml/2006/main">
                  <a:graphicData uri="http://schemas.microsoft.com/office/word/2010/wordprocessingShape">
                    <wps:wsp>
                      <wps:cNvSpPr/>
                      <wps:spPr>
                        <a:xfrm>
                          <a:off x="0" y="0"/>
                          <a:ext cx="6858000" cy="0"/>
                        </a:xfrm>
                        <a:custGeom>
                          <a:avLst/>
                          <a:gdLst/>
                          <a:ahLst/>
                          <a:cxnLst/>
                          <a:rect l="0" t="0" r="0" b="0"/>
                          <a:pathLst>
                            <a:path w="6858000">
                              <a:moveTo>
                                <a:pt x="0" y="0"/>
                              </a:moveTo>
                              <a:lnTo>
                                <a:pt x="6858000" y="0"/>
                              </a:lnTo>
                            </a:path>
                          </a:pathLst>
                        </a:custGeom>
                        <a:noFill/>
                        <a:ln w="6350" cap="flat">
                          <a:solidFill>
                            <a:srgbClr val="1F4E79"/>
                          </a:solidFill>
                          <a:prstDash/>
                        </a:ln>
                      </wps:spPr>
                      <wps:bodyPr vertOverflow="overflow" horzOverflow="overflow" vert="horz" lIns="91440" tIns="45720" rIns="91440" bIns="45720" anchor="t"/>
                    </wps:wsp>
                  </a:graphicData>
                </a:graphic>
              </wp:anchor>
            </w:drawing>
          </mc:Choice>
          <mc:Fallback>
            <w:pict>
              <v:shape w14:anchorId="1D8E51D5" id="drawingObject35" o:spid="_x0000_s1026" style="position:absolute;margin-left:0;margin-top:750.85pt;width:540pt;height:0;z-index:-251680256;visibility:visible;mso-wrap-style:square;mso-wrap-distance-left:0;mso-wrap-distance-top:0;mso-wrap-distance-right:0;mso-wrap-distance-bottom:0;mso-position-horizontal:absolute;mso-position-horizontal-relative:page;mso-position-vertical:absolute;mso-position-vertical-relative:page;v-text-anchor:top" coordsize="6858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" o:allowincell="f" path="m,l6858000,e" filled="f" strokecolor="#1f4e79" strokeweight=".5pt">
                <v:path arrowok="t" textboxrect="0,0,6858000,0"/>
                <w10:wrap anchorx="page" anchory="page"/>
              </v:shape>
            </w:pict>
          </mc:Fallback>
        </mc:AlternateContent>
      </w:r>
    </w:p>
    <w:p w14:paraId="598D91BF" w14:textId="77777777" w:rsidR="00901EB5" w:rsidRDefault="00901EB5">
      <w:pPr>
        <w:spacing w:after="69" w:line="240" w:lineRule="exact"/>
        <w:rPr>
          <w:rFonts w:ascii="Times New Roman" w:eastAsia="Times New Roman" w:hAnsi="Times New Roman" w:cs="Times New Roman"/>
        </w:rPr>
      </w:pPr>
    </w:p>
    <w:p w14:paraId="1BEB2A5E" w14:textId="77777777" w:rsidR="00901EB5" w:rsidRDefault="00901EB5">
      <w:pPr>
        <w:spacing w:line="240" w:lineRule="exact"/>
        <w:rPr>
          <w:rFonts w:ascii="Calibri" w:eastAsia="Calibri" w:hAnsi="Calibri" w:cs="Calibri"/>
        </w:rPr>
      </w:pPr>
    </w:p>
    <w:p w14:paraId="27C5179D" w14:textId="77777777" w:rsidR="00901EB5" w:rsidRDefault="00901EB5">
      <w:pPr>
        <w:spacing w:line="240" w:lineRule="exact"/>
        <w:rPr>
          <w:rFonts w:ascii="Calibri" w:eastAsia="Calibri" w:hAnsi="Calibri" w:cs="Calibri"/>
        </w:rPr>
      </w:pPr>
    </w:p>
    <w:p w14:paraId="4F27B61B" w14:textId="77777777" w:rsidR="00901EB5" w:rsidRDefault="00901EB5">
      <w:pPr>
        <w:spacing w:line="240" w:lineRule="exact"/>
        <w:rPr>
          <w:rFonts w:ascii="Calibri" w:eastAsia="Calibri" w:hAnsi="Calibri" w:cs="Calibri"/>
        </w:rPr>
      </w:pPr>
    </w:p>
    <w:p w14:paraId="4181FC01" w14:textId="77777777" w:rsidR="00901EB5" w:rsidRDefault="00901EB5">
      <w:pPr>
        <w:spacing w:line="240" w:lineRule="exact"/>
        <w:rPr>
          <w:rFonts w:ascii="Calibri" w:eastAsia="Calibri" w:hAnsi="Calibri" w:cs="Calibri"/>
        </w:rPr>
      </w:pPr>
    </w:p>
    <w:p w14:paraId="32AD962B" w14:textId="77777777" w:rsidR="00901EB5" w:rsidRDefault="00901EB5">
      <w:pPr>
        <w:spacing w:line="240" w:lineRule="exact"/>
        <w:rPr>
          <w:rFonts w:ascii="Calibri" w:eastAsia="Calibri" w:hAnsi="Calibri" w:cs="Calibri"/>
        </w:rPr>
      </w:pPr>
    </w:p>
    <w:p w14:paraId="4866C75D" w14:textId="77777777" w:rsidR="00901EB5" w:rsidRDefault="00901EB5">
      <w:pPr>
        <w:spacing w:line="240" w:lineRule="exact"/>
        <w:rPr>
          <w:rFonts w:ascii="Calibri" w:eastAsia="Calibri" w:hAnsi="Calibri" w:cs="Calibri"/>
        </w:rPr>
      </w:pPr>
    </w:p>
    <w:p w14:paraId="29FB0929" w14:textId="77777777" w:rsidR="00901EB5" w:rsidRDefault="00901EB5">
      <w:pPr>
        <w:spacing w:line="240" w:lineRule="exact"/>
        <w:rPr>
          <w:rFonts w:ascii="Calibri" w:eastAsia="Calibri" w:hAnsi="Calibri" w:cs="Calibri"/>
        </w:rPr>
      </w:pPr>
    </w:p>
    <w:p w14:paraId="1E9B4396" w14:textId="77777777" w:rsidR="00901EB5" w:rsidRDefault="00901EB5">
      <w:pPr>
        <w:spacing w:line="240" w:lineRule="exact"/>
        <w:rPr>
          <w:rFonts w:ascii="Calibri" w:eastAsia="Calibri" w:hAnsi="Calibri" w:cs="Calibri"/>
        </w:rPr>
      </w:pPr>
    </w:p>
    <w:p w14:paraId="457C953A" w14:textId="77777777" w:rsidR="00901EB5" w:rsidRDefault="00901EB5">
      <w:pPr>
        <w:spacing w:line="240" w:lineRule="exact"/>
        <w:rPr>
          <w:rFonts w:ascii="Calibri" w:eastAsia="Calibri" w:hAnsi="Calibri" w:cs="Calibri"/>
        </w:rPr>
      </w:pPr>
    </w:p>
    <w:p w14:paraId="5775B3B3" w14:textId="77777777" w:rsidR="00901EB5" w:rsidRDefault="00901EB5">
      <w:pPr>
        <w:spacing w:line="240" w:lineRule="exact"/>
        <w:rPr>
          <w:rFonts w:ascii="Calibri" w:eastAsia="Calibri" w:hAnsi="Calibri" w:cs="Calibri"/>
        </w:rPr>
      </w:pPr>
    </w:p>
    <w:p w14:paraId="597BCDDE" w14:textId="77777777" w:rsidR="00901EB5" w:rsidRDefault="00901EB5">
      <w:pPr>
        <w:spacing w:line="240" w:lineRule="exact"/>
        <w:rPr>
          <w:rFonts w:ascii="Calibri" w:eastAsia="Calibri" w:hAnsi="Calibri" w:cs="Calibri"/>
        </w:rPr>
      </w:pPr>
    </w:p>
    <w:p w14:paraId="7D959071" w14:textId="77777777" w:rsidR="00901EB5" w:rsidRDefault="00901EB5">
      <w:pPr>
        <w:spacing w:line="240" w:lineRule="exact"/>
        <w:rPr>
          <w:rFonts w:ascii="Calibri" w:eastAsia="Calibri" w:hAnsi="Calibri" w:cs="Calibri"/>
        </w:rPr>
      </w:pPr>
    </w:p>
    <w:p w14:paraId="6DD3343C" w14:textId="77777777" w:rsidR="00901EB5" w:rsidRDefault="00901EB5">
      <w:pPr>
        <w:spacing w:line="240" w:lineRule="exact"/>
        <w:rPr>
          <w:rFonts w:ascii="Calibri" w:eastAsia="Calibri" w:hAnsi="Calibri" w:cs="Calibri"/>
        </w:rPr>
      </w:pPr>
    </w:p>
    <w:p w14:paraId="5A87E54B" w14:textId="77777777" w:rsidR="00901EB5" w:rsidRDefault="00901EB5">
      <w:pPr>
        <w:spacing w:line="240" w:lineRule="exact"/>
        <w:rPr>
          <w:rFonts w:ascii="Calibri" w:eastAsia="Calibri" w:hAnsi="Calibri" w:cs="Calibri"/>
        </w:rPr>
      </w:pPr>
    </w:p>
    <w:p w14:paraId="2A74660F" w14:textId="77777777" w:rsidR="00901EB5" w:rsidRDefault="00901EB5">
      <w:pPr>
        <w:spacing w:line="240" w:lineRule="exact"/>
        <w:rPr>
          <w:rFonts w:ascii="Calibri" w:eastAsia="Calibri" w:hAnsi="Calibri" w:cs="Calibri"/>
        </w:rPr>
      </w:pPr>
    </w:p>
    <w:p w14:paraId="4E7C11EF" w14:textId="77777777" w:rsidR="00901EB5" w:rsidRDefault="00901EB5">
      <w:pPr>
        <w:spacing w:line="240" w:lineRule="exact"/>
        <w:rPr>
          <w:rFonts w:ascii="Calibri" w:eastAsia="Calibri" w:hAnsi="Calibri" w:cs="Calibri"/>
        </w:rPr>
      </w:pPr>
    </w:p>
    <w:p w14:paraId="08C8D86B" w14:textId="77777777" w:rsidR="00901EB5" w:rsidRDefault="00901EB5">
      <w:pPr>
        <w:spacing w:line="240" w:lineRule="exact"/>
        <w:rPr>
          <w:rFonts w:ascii="Calibri" w:eastAsia="Calibri" w:hAnsi="Calibri" w:cs="Calibri"/>
        </w:rPr>
      </w:pPr>
    </w:p>
    <w:p w14:paraId="1C232524" w14:textId="77777777" w:rsidR="00901EB5" w:rsidRDefault="00901EB5">
      <w:pPr>
        <w:spacing w:line="240" w:lineRule="exact"/>
        <w:rPr>
          <w:rFonts w:ascii="Calibri" w:eastAsia="Calibri" w:hAnsi="Calibri" w:cs="Calibri"/>
        </w:rPr>
      </w:pPr>
    </w:p>
    <w:p w14:paraId="0B548643" w14:textId="77777777" w:rsidR="00901EB5" w:rsidRDefault="00901EB5">
      <w:pPr>
        <w:spacing w:line="240" w:lineRule="exact"/>
        <w:rPr>
          <w:rFonts w:ascii="Calibri" w:eastAsia="Calibri" w:hAnsi="Calibri" w:cs="Calibri"/>
        </w:rPr>
      </w:pPr>
    </w:p>
    <w:p w14:paraId="44AF63F3" w14:textId="77777777" w:rsidR="00901EB5" w:rsidRDefault="00901EB5">
      <w:pPr>
        <w:spacing w:line="240" w:lineRule="exact"/>
        <w:rPr>
          <w:rFonts w:ascii="Calibri" w:eastAsia="Calibri" w:hAnsi="Calibri" w:cs="Calibri"/>
        </w:rPr>
      </w:pPr>
    </w:p>
    <w:p w14:paraId="179A302E" w14:textId="77777777" w:rsidR="00901EB5" w:rsidRDefault="00901EB5">
      <w:pPr>
        <w:spacing w:line="240" w:lineRule="exact"/>
        <w:rPr>
          <w:rFonts w:ascii="Calibri" w:eastAsia="Calibri" w:hAnsi="Calibri" w:cs="Calibri"/>
        </w:rPr>
      </w:pPr>
    </w:p>
    <w:p w14:paraId="11371274" w14:textId="77777777" w:rsidR="00901EB5" w:rsidRDefault="00901EB5">
      <w:pPr>
        <w:spacing w:line="240" w:lineRule="exact"/>
        <w:rPr>
          <w:rFonts w:ascii="Calibri" w:eastAsia="Calibri" w:hAnsi="Calibri" w:cs="Calibri"/>
        </w:rPr>
      </w:pPr>
    </w:p>
    <w:p w14:paraId="08CBB965" w14:textId="77777777" w:rsidR="00901EB5" w:rsidRDefault="00901EB5">
      <w:pPr>
        <w:spacing w:line="240" w:lineRule="exact"/>
        <w:rPr>
          <w:rFonts w:ascii="Calibri" w:eastAsia="Calibri" w:hAnsi="Calibri" w:cs="Calibri"/>
        </w:rPr>
      </w:pPr>
    </w:p>
    <w:p w14:paraId="0A941596" w14:textId="77777777" w:rsidR="00901EB5" w:rsidRDefault="00901EB5">
      <w:pPr>
        <w:spacing w:line="240" w:lineRule="exact"/>
        <w:rPr>
          <w:rFonts w:ascii="Calibri" w:eastAsia="Calibri" w:hAnsi="Calibri" w:cs="Calibri"/>
        </w:rPr>
      </w:pPr>
    </w:p>
    <w:p w14:paraId="6E0CD050" w14:textId="77777777" w:rsidR="00901EB5" w:rsidRDefault="00901EB5">
      <w:pPr>
        <w:spacing w:line="240" w:lineRule="exact"/>
        <w:rPr>
          <w:rFonts w:ascii="Calibri" w:eastAsia="Calibri" w:hAnsi="Calibri" w:cs="Calibri"/>
        </w:rPr>
      </w:pPr>
    </w:p>
    <w:p w14:paraId="7CA08F6F" w14:textId="77777777" w:rsidR="00901EB5" w:rsidRDefault="00901EB5">
      <w:pPr>
        <w:spacing w:line="240" w:lineRule="exact"/>
        <w:rPr>
          <w:rFonts w:ascii="Calibri" w:eastAsia="Calibri" w:hAnsi="Calibri" w:cs="Calibri"/>
        </w:rPr>
      </w:pPr>
    </w:p>
    <w:p w14:paraId="36AB97A0" w14:textId="77777777" w:rsidR="00901EB5" w:rsidRDefault="00901EB5">
      <w:pPr>
        <w:spacing w:line="240" w:lineRule="exact"/>
        <w:rPr>
          <w:rFonts w:ascii="Calibri" w:eastAsia="Calibri" w:hAnsi="Calibri" w:cs="Calibri"/>
        </w:rPr>
      </w:pPr>
    </w:p>
    <w:p w14:paraId="6FE4AA2A" w14:textId="77777777" w:rsidR="00901EB5" w:rsidRDefault="00901EB5">
      <w:pPr>
        <w:spacing w:line="240" w:lineRule="exact"/>
        <w:rPr>
          <w:rFonts w:ascii="Calibri" w:eastAsia="Calibri" w:hAnsi="Calibri" w:cs="Calibri"/>
        </w:rPr>
      </w:pPr>
    </w:p>
    <w:p w14:paraId="5C4F22E2" w14:textId="77777777" w:rsidR="00901EB5" w:rsidRDefault="00901EB5">
      <w:pPr>
        <w:sectPr w:rsidR="00901EB5" w:rsidSect="00C31C96">
          <w:pgSz w:w="10800" w:h="15600"/>
          <w:pgMar w:top="1134" w:right="380" w:bottom="0" w:left="478" w:header="720" w:footer="227" w:gutter="0"/>
          <w:cols w:space="708"/>
          <w:docGrid w:linePitch="326"/>
        </w:sectPr>
      </w:pPr>
    </w:p>
    <w:p w14:paraId="2E611E4B" w14:textId="77777777" w:rsidR="00901EB5" w:rsidRDefault="00901EB5">
      <w:pPr>
        <w:spacing w:line="240" w:lineRule="exact"/>
        <w:rPr>
          <w:rFonts w:ascii="Calibri" w:eastAsia="Calibri" w:hAnsi="Calibri" w:cs="Calibri"/>
        </w:rPr>
      </w:pPr>
    </w:p>
    <w:p w14:paraId="5ED3F1D8" w14:textId="77777777" w:rsidR="00901EB5" w:rsidRDefault="00901EB5">
      <w:pPr>
        <w:spacing w:line="240" w:lineRule="exact"/>
        <w:rPr>
          <w:rFonts w:ascii="Calibri" w:eastAsia="Calibri" w:hAnsi="Calibri" w:cs="Calibri"/>
        </w:rPr>
      </w:pPr>
    </w:p>
    <w:p w14:paraId="03F1DA11" w14:textId="77777777" w:rsidR="00901EB5" w:rsidRDefault="00901EB5">
      <w:pPr>
        <w:spacing w:after="49" w:line="240" w:lineRule="exact"/>
        <w:rPr>
          <w:rFonts w:ascii="Calibri" w:eastAsia="Calibri" w:hAnsi="Calibri" w:cs="Calibri"/>
        </w:rPr>
      </w:pPr>
    </w:p>
    <w:p w14:paraId="7047758C" w14:textId="77777777" w:rsidR="00901EB5" w:rsidRDefault="008B48BC">
      <w:pPr>
        <w:ind w:right="-20"/>
        <w:rPr>
          <w:rFonts w:ascii="Calibri" w:eastAsia="Calibri" w:hAnsi="Calibri" w:cs="Calibri"/>
          <w:b/>
          <w:bCs/>
          <w:i/>
          <w:iCs/>
          <w:color w:val="44546A"/>
          <w:sz w:val="36"/>
          <w:szCs w:val="36"/>
        </w:rPr>
      </w:pPr>
      <w:r>
        <w:rPr>
          <w:rFonts w:ascii="Calibri" w:eastAsia="Calibri" w:hAnsi="Calibri" w:cs="Calibri"/>
          <w:b/>
          <w:bCs/>
          <w:i/>
          <w:iCs/>
          <w:color w:val="44546A"/>
          <w:sz w:val="36"/>
          <w:szCs w:val="36"/>
        </w:rPr>
        <w:t>Appendix</w:t>
      </w:r>
    </w:p>
    <w:p w14:paraId="00755E9E" w14:textId="77777777" w:rsidR="00901EB5" w:rsidRDefault="00901EB5">
      <w:pPr>
        <w:spacing w:after="49" w:line="240" w:lineRule="exact"/>
        <w:rPr>
          <w:rFonts w:ascii="Calibri" w:eastAsia="Calibri" w:hAnsi="Calibri" w:cs="Calibri"/>
        </w:rPr>
      </w:pPr>
    </w:p>
    <w:p w14:paraId="31BB9676" w14:textId="77777777" w:rsidR="00BC6998" w:rsidRDefault="00BC6998" w:rsidP="00BC6998">
      <w:pPr>
        <w:rPr>
          <w:rFonts w:ascii="Times New Roman" w:hAnsi="Times New Roman" w:cs="Times New Roman"/>
        </w:rPr>
      </w:pPr>
      <w:r w:rsidRPr="00575C54">
        <w:rPr>
          <w:rFonts w:ascii="Times New Roman" w:hAnsi="Times New Roman" w:cs="Times New Roman"/>
          <w:b/>
          <w:sz w:val="32"/>
          <w:szCs w:val="32"/>
          <w:u w:val="single"/>
        </w:rPr>
        <w:t>Competitors</w:t>
      </w:r>
      <w:r>
        <w:rPr>
          <w:rFonts w:ascii="Times New Roman" w:hAnsi="Times New Roman" w:cs="Times New Roman"/>
        </w:rPr>
        <w:t>:</w:t>
      </w:r>
    </w:p>
    <w:p w14:paraId="0487F627" w14:textId="77777777" w:rsidR="00BC6998" w:rsidRPr="00222AD1" w:rsidRDefault="00BC6998" w:rsidP="00BC6998">
      <w:pPr>
        <w:rPr>
          <w:rFonts w:ascii="Times New Roman" w:hAnsi="Times New Roman" w:cs="Times New Roman"/>
        </w:rPr>
      </w:pPr>
    </w:p>
    <w:p w14:paraId="6EFAE781" w14:textId="77777777" w:rsidR="00BC6998" w:rsidRPr="00222AD1" w:rsidRDefault="00BC6998" w:rsidP="00BC6998">
      <w:pPr>
        <w:rPr>
          <w:rFonts w:ascii="Times New Roman" w:hAnsi="Times New Roman" w:cs="Times New Roman"/>
          <w:b/>
          <w:u w:val="single"/>
        </w:rPr>
      </w:pPr>
      <w:r w:rsidRPr="00222AD1">
        <w:rPr>
          <w:rFonts w:ascii="Times New Roman" w:hAnsi="Times New Roman" w:cs="Times New Roman"/>
          <w:b/>
          <w:u w:val="single"/>
        </w:rPr>
        <w:t xml:space="preserve">Warehouse </w:t>
      </w:r>
      <w:proofErr w:type="spellStart"/>
      <w:r w:rsidRPr="00222AD1">
        <w:rPr>
          <w:rFonts w:ascii="Times New Roman" w:hAnsi="Times New Roman" w:cs="Times New Roman"/>
          <w:b/>
          <w:u w:val="single"/>
        </w:rPr>
        <w:t>Reit</w:t>
      </w:r>
      <w:proofErr w:type="spellEnd"/>
    </w:p>
    <w:p w14:paraId="2A90444D" w14:textId="77777777" w:rsidR="00953421" w:rsidRDefault="00953421" w:rsidP="00BC6998">
      <w:pPr>
        <w:rPr>
          <w:rFonts w:ascii="Times New Roman" w:hAnsi="Times New Roman" w:cs="Times New Roman"/>
        </w:rPr>
      </w:pPr>
      <w:r>
        <w:rPr>
          <w:rFonts w:ascii="Times New Roman" w:hAnsi="Times New Roman" w:cs="Times New Roman"/>
        </w:rPr>
        <w:t xml:space="preserve">Warehouse REIT, along with Urban Logistics, is the UK company most exposed to last mile warehousing. It owns 6.2 million sqft of last mile warehouses and is well diversified across the </w:t>
      </w:r>
      <w:proofErr w:type="spellStart"/>
      <w:r>
        <w:rPr>
          <w:rFonts w:ascii="Times New Roman" w:hAnsi="Times New Roman" w:cs="Times New Roman"/>
        </w:rPr>
        <w:t>uk</w:t>
      </w:r>
      <w:proofErr w:type="spellEnd"/>
      <w:r>
        <w:rPr>
          <w:rFonts w:ascii="Times New Roman" w:hAnsi="Times New Roman" w:cs="Times New Roman"/>
        </w:rPr>
        <w:t xml:space="preserve"> with two thirds of asset split between the Midlands and South East, and the rest split between North England, Scotland and Northern Ireland.</w:t>
      </w:r>
    </w:p>
    <w:p w14:paraId="7B990693" w14:textId="77777777" w:rsidR="00BC6998" w:rsidRPr="00222AD1" w:rsidRDefault="00BC6998" w:rsidP="00BC6998">
      <w:pPr>
        <w:rPr>
          <w:rFonts w:ascii="Times New Roman" w:hAnsi="Times New Roman" w:cs="Times New Roman"/>
        </w:rPr>
      </w:pPr>
    </w:p>
    <w:p w14:paraId="389E35FB" w14:textId="77777777" w:rsidR="00BC6998" w:rsidRPr="00222AD1" w:rsidRDefault="00BC6998" w:rsidP="00BC6998">
      <w:pPr>
        <w:rPr>
          <w:rFonts w:ascii="Times New Roman" w:hAnsi="Times New Roman" w:cs="Times New Roman"/>
          <w:b/>
          <w:u w:val="single"/>
        </w:rPr>
      </w:pPr>
      <w:r w:rsidRPr="00222AD1">
        <w:rPr>
          <w:rFonts w:ascii="Times New Roman" w:hAnsi="Times New Roman" w:cs="Times New Roman"/>
          <w:b/>
          <w:u w:val="single"/>
        </w:rPr>
        <w:t>Segro</w:t>
      </w:r>
    </w:p>
    <w:p w14:paraId="2889AC56" w14:textId="77777777" w:rsidR="00BC6998" w:rsidRDefault="00953421" w:rsidP="00BC6998">
      <w:pPr>
        <w:rPr>
          <w:rFonts w:ascii="Times New Roman" w:hAnsi="Times New Roman" w:cs="Times New Roman"/>
        </w:rPr>
      </w:pPr>
      <w:r>
        <w:rPr>
          <w:rFonts w:ascii="Times New Roman" w:hAnsi="Times New Roman" w:cs="Times New Roman"/>
        </w:rPr>
        <w:t>Segro is the b</w:t>
      </w:r>
      <w:r w:rsidR="00BC6998" w:rsidRPr="00222AD1">
        <w:rPr>
          <w:rFonts w:ascii="Times New Roman" w:hAnsi="Times New Roman" w:cs="Times New Roman"/>
        </w:rPr>
        <w:t xml:space="preserve">iggest player in the UK warehousing space, with ownership of both big box and last mile warehouses. </w:t>
      </w:r>
      <w:r>
        <w:rPr>
          <w:rFonts w:ascii="Times New Roman" w:hAnsi="Times New Roman" w:cs="Times New Roman"/>
        </w:rPr>
        <w:t xml:space="preserve">It owns </w:t>
      </w:r>
      <w:r w:rsidR="00BC6998" w:rsidRPr="00222AD1">
        <w:rPr>
          <w:rFonts w:ascii="Times New Roman" w:hAnsi="Times New Roman" w:cs="Times New Roman"/>
        </w:rPr>
        <w:t>84</w:t>
      </w:r>
      <w:r>
        <w:rPr>
          <w:rFonts w:ascii="Times New Roman" w:hAnsi="Times New Roman" w:cs="Times New Roman"/>
        </w:rPr>
        <w:t xml:space="preserve"> million</w:t>
      </w:r>
      <w:r w:rsidR="00BC6998" w:rsidRPr="00222AD1">
        <w:rPr>
          <w:rFonts w:ascii="Times New Roman" w:hAnsi="Times New Roman" w:cs="Times New Roman"/>
        </w:rPr>
        <w:t xml:space="preserve"> sqft of total space</w:t>
      </w:r>
      <w:r>
        <w:rPr>
          <w:rFonts w:ascii="Times New Roman" w:hAnsi="Times New Roman" w:cs="Times New Roman"/>
        </w:rPr>
        <w:t xml:space="preserve">, with </w:t>
      </w:r>
      <w:r w:rsidR="00BC6998" w:rsidRPr="00222AD1">
        <w:rPr>
          <w:rFonts w:ascii="Times New Roman" w:hAnsi="Times New Roman" w:cs="Times New Roman"/>
        </w:rPr>
        <w:t>16.6</w:t>
      </w:r>
      <w:r>
        <w:rPr>
          <w:rFonts w:ascii="Times New Roman" w:hAnsi="Times New Roman" w:cs="Times New Roman"/>
        </w:rPr>
        <w:t xml:space="preserve"> </w:t>
      </w:r>
      <w:r w:rsidR="00BC6998" w:rsidRPr="00222AD1">
        <w:rPr>
          <w:rFonts w:ascii="Times New Roman" w:hAnsi="Times New Roman" w:cs="Times New Roman"/>
        </w:rPr>
        <w:t>m</w:t>
      </w:r>
      <w:r>
        <w:rPr>
          <w:rFonts w:ascii="Times New Roman" w:hAnsi="Times New Roman" w:cs="Times New Roman"/>
        </w:rPr>
        <w:t>illion sqft</w:t>
      </w:r>
      <w:r w:rsidR="00BC6998" w:rsidRPr="00222AD1">
        <w:rPr>
          <w:rFonts w:ascii="Times New Roman" w:hAnsi="Times New Roman" w:cs="Times New Roman"/>
        </w:rPr>
        <w:t xml:space="preserve"> urban </w:t>
      </w:r>
      <w:r>
        <w:rPr>
          <w:rFonts w:ascii="Times New Roman" w:hAnsi="Times New Roman" w:cs="Times New Roman"/>
        </w:rPr>
        <w:t xml:space="preserve">warehousing </w:t>
      </w:r>
      <w:r w:rsidR="00BC6998" w:rsidRPr="00222AD1">
        <w:rPr>
          <w:rFonts w:ascii="Times New Roman" w:hAnsi="Times New Roman" w:cs="Times New Roman"/>
        </w:rPr>
        <w:t>in UK, 11.3m</w:t>
      </w:r>
      <w:r>
        <w:rPr>
          <w:rFonts w:ascii="Times New Roman" w:hAnsi="Times New Roman" w:cs="Times New Roman"/>
        </w:rPr>
        <w:t>illion sqft of</w:t>
      </w:r>
      <w:r w:rsidR="00BC6998" w:rsidRPr="00222AD1">
        <w:rPr>
          <w:rFonts w:ascii="Times New Roman" w:hAnsi="Times New Roman" w:cs="Times New Roman"/>
        </w:rPr>
        <w:t xml:space="preserve"> urban</w:t>
      </w:r>
      <w:r>
        <w:rPr>
          <w:rFonts w:ascii="Times New Roman" w:hAnsi="Times New Roman" w:cs="Times New Roman"/>
        </w:rPr>
        <w:t xml:space="preserve"> warehousing</w:t>
      </w:r>
      <w:r w:rsidR="00BC6998" w:rsidRPr="00222AD1">
        <w:rPr>
          <w:rFonts w:ascii="Times New Roman" w:hAnsi="Times New Roman" w:cs="Times New Roman"/>
        </w:rPr>
        <w:t xml:space="preserve"> in Europe.</w:t>
      </w:r>
      <w:r>
        <w:rPr>
          <w:rFonts w:ascii="Times New Roman" w:hAnsi="Times New Roman" w:cs="Times New Roman"/>
        </w:rPr>
        <w:t xml:space="preserve"> The majority of the remaining space is big box warehousing. Segro is heavily exposed to London </w:t>
      </w:r>
      <w:r w:rsidR="00BC6998" w:rsidRPr="00222AD1">
        <w:rPr>
          <w:rFonts w:ascii="Times New Roman" w:hAnsi="Times New Roman" w:cs="Times New Roman"/>
        </w:rPr>
        <w:t xml:space="preserve">(&gt;50% exposure by value), </w:t>
      </w:r>
      <w:r>
        <w:rPr>
          <w:rFonts w:ascii="Times New Roman" w:hAnsi="Times New Roman" w:cs="Times New Roman"/>
        </w:rPr>
        <w:t xml:space="preserve">with </w:t>
      </w:r>
      <w:r w:rsidR="00BC6998" w:rsidRPr="00222AD1">
        <w:rPr>
          <w:rFonts w:ascii="Times New Roman" w:hAnsi="Times New Roman" w:cs="Times New Roman"/>
        </w:rPr>
        <w:t>almost no</w:t>
      </w:r>
      <w:r>
        <w:rPr>
          <w:rFonts w:ascii="Times New Roman" w:hAnsi="Times New Roman" w:cs="Times New Roman"/>
        </w:rPr>
        <w:t xml:space="preserve"> representation </w:t>
      </w:r>
      <w:r w:rsidR="00BC6998" w:rsidRPr="00222AD1">
        <w:rPr>
          <w:rFonts w:ascii="Times New Roman" w:hAnsi="Times New Roman" w:cs="Times New Roman"/>
        </w:rPr>
        <w:t>in the rest of UK.</w:t>
      </w:r>
    </w:p>
    <w:p w14:paraId="44A52407" w14:textId="77777777" w:rsidR="00BC6998" w:rsidRPr="00222AD1" w:rsidRDefault="00BC6998" w:rsidP="00BC6998">
      <w:pPr>
        <w:rPr>
          <w:rFonts w:ascii="Times New Roman" w:hAnsi="Times New Roman" w:cs="Times New Roman"/>
        </w:rPr>
      </w:pPr>
    </w:p>
    <w:p w14:paraId="0E63F0A5" w14:textId="77777777" w:rsidR="00BC6998" w:rsidRDefault="00BC6998" w:rsidP="00BC6998">
      <w:pPr>
        <w:rPr>
          <w:rFonts w:ascii="Times New Roman" w:hAnsi="Times New Roman" w:cs="Times New Roman"/>
          <w:b/>
          <w:u w:val="single"/>
        </w:rPr>
      </w:pPr>
      <w:r w:rsidRPr="00222AD1">
        <w:rPr>
          <w:rFonts w:ascii="Times New Roman" w:hAnsi="Times New Roman" w:cs="Times New Roman"/>
          <w:b/>
          <w:u w:val="single"/>
        </w:rPr>
        <w:t>LondonMetric</w:t>
      </w:r>
    </w:p>
    <w:p w14:paraId="2B13A416" w14:textId="77777777" w:rsidR="00BC6998" w:rsidRPr="00953421" w:rsidRDefault="00953421" w:rsidP="00BC6998">
      <w:pPr>
        <w:rPr>
          <w:rFonts w:ascii="Times New Roman" w:hAnsi="Times New Roman" w:cs="Times New Roman"/>
          <w:b/>
          <w:u w:val="single"/>
        </w:rPr>
      </w:pPr>
      <w:r>
        <w:rPr>
          <w:rFonts w:ascii="Times New Roman" w:hAnsi="Times New Roman" w:cs="Times New Roman"/>
        </w:rPr>
        <w:t>London Metric is a</w:t>
      </w:r>
      <w:r w:rsidR="00BC6998" w:rsidRPr="00222AD1">
        <w:rPr>
          <w:rFonts w:ascii="Times New Roman" w:hAnsi="Times New Roman" w:cs="Times New Roman"/>
        </w:rPr>
        <w:t>ctively tra</w:t>
      </w:r>
      <w:r w:rsidR="00BC6998">
        <w:rPr>
          <w:rFonts w:ascii="Times New Roman" w:hAnsi="Times New Roman" w:cs="Times New Roman"/>
        </w:rPr>
        <w:t>nsitioning from a retail and big box focus</w:t>
      </w:r>
      <w:r>
        <w:rPr>
          <w:rFonts w:ascii="Times New Roman" w:hAnsi="Times New Roman" w:cs="Times New Roman"/>
        </w:rPr>
        <w:t>, to a higher exposure of last mile warehousing.</w:t>
      </w:r>
      <w:r>
        <w:rPr>
          <w:rFonts w:ascii="Times New Roman" w:hAnsi="Times New Roman" w:cs="Times New Roman"/>
          <w:bCs/>
        </w:rPr>
        <w:t xml:space="preserve"> It owns </w:t>
      </w:r>
      <w:r w:rsidR="00BC6998" w:rsidRPr="00222AD1">
        <w:rPr>
          <w:rFonts w:ascii="Times New Roman" w:hAnsi="Times New Roman" w:cs="Times New Roman"/>
        </w:rPr>
        <w:t>3.3</w:t>
      </w:r>
      <w:r>
        <w:rPr>
          <w:rFonts w:ascii="Times New Roman" w:hAnsi="Times New Roman" w:cs="Times New Roman"/>
        </w:rPr>
        <w:t xml:space="preserve"> million</w:t>
      </w:r>
      <w:r w:rsidR="00BC6998" w:rsidRPr="00222AD1">
        <w:rPr>
          <w:rFonts w:ascii="Times New Roman" w:hAnsi="Times New Roman" w:cs="Times New Roman"/>
        </w:rPr>
        <w:t xml:space="preserve"> sqft urban </w:t>
      </w:r>
      <w:r>
        <w:rPr>
          <w:rFonts w:ascii="Times New Roman" w:hAnsi="Times New Roman" w:cs="Times New Roman"/>
        </w:rPr>
        <w:t>warehousing</w:t>
      </w:r>
      <w:r w:rsidR="00BC6998" w:rsidRPr="00222AD1">
        <w:rPr>
          <w:rFonts w:ascii="Times New Roman" w:hAnsi="Times New Roman" w:cs="Times New Roman"/>
        </w:rPr>
        <w:t>,</w:t>
      </w:r>
      <w:r>
        <w:rPr>
          <w:rFonts w:ascii="Times New Roman" w:hAnsi="Times New Roman" w:cs="Times New Roman"/>
        </w:rPr>
        <w:t xml:space="preserve"> and</w:t>
      </w:r>
      <w:r w:rsidR="00BC6998" w:rsidRPr="00222AD1">
        <w:rPr>
          <w:rFonts w:ascii="Times New Roman" w:hAnsi="Times New Roman" w:cs="Times New Roman"/>
        </w:rPr>
        <w:t xml:space="preserve"> 13</w:t>
      </w:r>
      <w:r>
        <w:rPr>
          <w:rFonts w:ascii="Times New Roman" w:hAnsi="Times New Roman" w:cs="Times New Roman"/>
        </w:rPr>
        <w:t xml:space="preserve"> million sqft of</w:t>
      </w:r>
      <w:r w:rsidR="00BC6998" w:rsidRPr="00222AD1">
        <w:rPr>
          <w:rFonts w:ascii="Times New Roman" w:hAnsi="Times New Roman" w:cs="Times New Roman"/>
        </w:rPr>
        <w:t xml:space="preserve"> total space. </w:t>
      </w:r>
    </w:p>
    <w:p w14:paraId="2B8AB809" w14:textId="77777777" w:rsidR="00BC6998" w:rsidRDefault="00953421" w:rsidP="00BC6998">
      <w:pPr>
        <w:rPr>
          <w:rFonts w:ascii="Times New Roman" w:hAnsi="Times New Roman" w:cs="Times New Roman"/>
        </w:rPr>
      </w:pPr>
      <w:r>
        <w:rPr>
          <w:rFonts w:ascii="Times New Roman" w:hAnsi="Times New Roman" w:cs="Times New Roman"/>
        </w:rPr>
        <w:t>The</w:t>
      </w:r>
      <w:r w:rsidR="000604DE">
        <w:rPr>
          <w:rFonts w:ascii="Times New Roman" w:hAnsi="Times New Roman" w:cs="Times New Roman"/>
        </w:rPr>
        <w:t xml:space="preserve">y are </w:t>
      </w:r>
      <w:r w:rsidR="00BC6998" w:rsidRPr="00222AD1">
        <w:rPr>
          <w:rFonts w:ascii="Times New Roman" w:hAnsi="Times New Roman" w:cs="Times New Roman"/>
        </w:rPr>
        <w:t xml:space="preserve">Exposed to </w:t>
      </w:r>
      <w:r w:rsidR="000604DE">
        <w:rPr>
          <w:rFonts w:ascii="Times New Roman" w:hAnsi="Times New Roman" w:cs="Times New Roman"/>
        </w:rPr>
        <w:t>the South East</w:t>
      </w:r>
      <w:r w:rsidR="00BC6998" w:rsidRPr="00222AD1">
        <w:rPr>
          <w:rFonts w:ascii="Times New Roman" w:hAnsi="Times New Roman" w:cs="Times New Roman"/>
        </w:rPr>
        <w:t xml:space="preserve"> (45%), </w:t>
      </w:r>
      <w:proofErr w:type="gramStart"/>
      <w:r w:rsidR="00BC6998" w:rsidRPr="00222AD1">
        <w:rPr>
          <w:rFonts w:ascii="Times New Roman" w:hAnsi="Times New Roman" w:cs="Times New Roman"/>
        </w:rPr>
        <w:t>Midlands(</w:t>
      </w:r>
      <w:proofErr w:type="gramEnd"/>
      <w:r w:rsidR="00BC6998" w:rsidRPr="00222AD1">
        <w:rPr>
          <w:rFonts w:ascii="Times New Roman" w:hAnsi="Times New Roman" w:cs="Times New Roman"/>
        </w:rPr>
        <w:t>30%) and evenly distributed across rest of UK</w:t>
      </w:r>
    </w:p>
    <w:p w14:paraId="03C2F529" w14:textId="77777777" w:rsidR="00BC6998" w:rsidRPr="00222AD1" w:rsidRDefault="00BC6998" w:rsidP="00BC6998">
      <w:pPr>
        <w:rPr>
          <w:rFonts w:ascii="Times New Roman" w:hAnsi="Times New Roman" w:cs="Times New Roman"/>
        </w:rPr>
      </w:pPr>
    </w:p>
    <w:p w14:paraId="6943C8BC" w14:textId="77777777" w:rsidR="00BC6998" w:rsidRPr="00222AD1" w:rsidRDefault="00BC6998" w:rsidP="00BC6998">
      <w:pPr>
        <w:rPr>
          <w:rFonts w:ascii="Times New Roman" w:hAnsi="Times New Roman" w:cs="Times New Roman"/>
          <w:b/>
          <w:u w:val="single"/>
        </w:rPr>
      </w:pPr>
      <w:r w:rsidRPr="00222AD1">
        <w:rPr>
          <w:rFonts w:ascii="Times New Roman" w:hAnsi="Times New Roman" w:cs="Times New Roman"/>
          <w:b/>
          <w:u w:val="single"/>
        </w:rPr>
        <w:t>Tritax Big Box</w:t>
      </w:r>
    </w:p>
    <w:p w14:paraId="6878BFE4" w14:textId="77777777" w:rsidR="00BC6998" w:rsidRDefault="000604DE" w:rsidP="00BC6998">
      <w:pPr>
        <w:rPr>
          <w:rFonts w:ascii="Times New Roman" w:hAnsi="Times New Roman" w:cs="Times New Roman"/>
        </w:rPr>
      </w:pPr>
      <w:r>
        <w:rPr>
          <w:rFonts w:ascii="Times New Roman" w:hAnsi="Times New Roman" w:cs="Times New Roman"/>
        </w:rPr>
        <w:t>Tritax Big Box o</w:t>
      </w:r>
      <w:r w:rsidR="00BC6998" w:rsidRPr="00222AD1">
        <w:rPr>
          <w:rFonts w:ascii="Times New Roman" w:hAnsi="Times New Roman" w:cs="Times New Roman"/>
        </w:rPr>
        <w:t>wn both warehousing and land assets.</w:t>
      </w:r>
      <w:r>
        <w:rPr>
          <w:rFonts w:ascii="Times New Roman" w:hAnsi="Times New Roman" w:cs="Times New Roman"/>
        </w:rPr>
        <w:t xml:space="preserve"> It is p</w:t>
      </w:r>
      <w:r w:rsidR="00BC6998" w:rsidRPr="00222AD1">
        <w:rPr>
          <w:rFonts w:ascii="Times New Roman" w:hAnsi="Times New Roman" w:cs="Times New Roman"/>
        </w:rPr>
        <w:t xml:space="preserve">urely focused on big box warehouses </w:t>
      </w:r>
      <w:r>
        <w:rPr>
          <w:rFonts w:ascii="Times New Roman" w:hAnsi="Times New Roman" w:cs="Times New Roman"/>
        </w:rPr>
        <w:t>and owns</w:t>
      </w:r>
      <w:r w:rsidR="00BC6998" w:rsidRPr="00222AD1">
        <w:rPr>
          <w:rFonts w:ascii="Times New Roman" w:hAnsi="Times New Roman" w:cs="Times New Roman"/>
        </w:rPr>
        <w:t xml:space="preserve"> some of the only big box last mile warehouses in the UK. </w:t>
      </w:r>
      <w:r w:rsidRPr="00222AD1">
        <w:rPr>
          <w:rFonts w:ascii="Times New Roman" w:hAnsi="Times New Roman" w:cs="Times New Roman"/>
        </w:rPr>
        <w:t xml:space="preserve">If </w:t>
      </w:r>
      <w:r>
        <w:rPr>
          <w:rFonts w:ascii="Times New Roman" w:hAnsi="Times New Roman" w:cs="Times New Roman"/>
        </w:rPr>
        <w:t xml:space="preserve">its </w:t>
      </w:r>
      <w:r w:rsidRPr="00222AD1">
        <w:rPr>
          <w:rFonts w:ascii="Times New Roman" w:hAnsi="Times New Roman" w:cs="Times New Roman"/>
        </w:rPr>
        <w:t xml:space="preserve">land assets </w:t>
      </w:r>
      <w:r>
        <w:rPr>
          <w:rFonts w:ascii="Times New Roman" w:hAnsi="Times New Roman" w:cs="Times New Roman"/>
        </w:rPr>
        <w:t xml:space="preserve">are fully </w:t>
      </w:r>
      <w:r w:rsidRPr="00222AD1">
        <w:rPr>
          <w:rFonts w:ascii="Times New Roman" w:hAnsi="Times New Roman" w:cs="Times New Roman"/>
        </w:rPr>
        <w:t xml:space="preserve">developed </w:t>
      </w:r>
      <w:r>
        <w:rPr>
          <w:rFonts w:ascii="Times New Roman" w:hAnsi="Times New Roman" w:cs="Times New Roman"/>
        </w:rPr>
        <w:t>they have</w:t>
      </w:r>
      <w:r w:rsidRPr="00222AD1">
        <w:rPr>
          <w:rFonts w:ascii="Times New Roman" w:hAnsi="Times New Roman" w:cs="Times New Roman"/>
        </w:rPr>
        <w:t xml:space="preserve"> potential for </w:t>
      </w:r>
      <w:r>
        <w:rPr>
          <w:rFonts w:ascii="Times New Roman" w:hAnsi="Times New Roman" w:cs="Times New Roman"/>
        </w:rPr>
        <w:t>growth that is not priced by the market, however without inside knowledge it is difficult to quantify the value of their land holdings. It owns 1.</w:t>
      </w:r>
      <w:r w:rsidR="00BC6998" w:rsidRPr="00222AD1">
        <w:rPr>
          <w:rFonts w:ascii="Times New Roman" w:hAnsi="Times New Roman" w:cs="Times New Roman"/>
        </w:rPr>
        <w:t xml:space="preserve">5mm sqft </w:t>
      </w:r>
      <w:r>
        <w:rPr>
          <w:rFonts w:ascii="Times New Roman" w:hAnsi="Times New Roman" w:cs="Times New Roman"/>
        </w:rPr>
        <w:t xml:space="preserve">of </w:t>
      </w:r>
      <w:r w:rsidR="00BC6998" w:rsidRPr="00222AD1">
        <w:rPr>
          <w:rFonts w:ascii="Times New Roman" w:hAnsi="Times New Roman" w:cs="Times New Roman"/>
        </w:rPr>
        <w:t>last mile</w:t>
      </w:r>
      <w:r>
        <w:rPr>
          <w:rFonts w:ascii="Times New Roman" w:hAnsi="Times New Roman" w:cs="Times New Roman"/>
        </w:rPr>
        <w:t xml:space="preserve"> warehousing out of its 30.9 million sqft portfolio. They are relatively e</w:t>
      </w:r>
      <w:r w:rsidR="00BC6998" w:rsidRPr="00222AD1">
        <w:rPr>
          <w:rFonts w:ascii="Times New Roman" w:hAnsi="Times New Roman" w:cs="Times New Roman"/>
        </w:rPr>
        <w:t xml:space="preserve">venly distributed across the UK, </w:t>
      </w:r>
      <w:r>
        <w:rPr>
          <w:rFonts w:ascii="Times New Roman" w:hAnsi="Times New Roman" w:cs="Times New Roman"/>
        </w:rPr>
        <w:t xml:space="preserve">with the </w:t>
      </w:r>
      <w:r w:rsidR="00BC6998" w:rsidRPr="00222AD1">
        <w:rPr>
          <w:rFonts w:ascii="Times New Roman" w:hAnsi="Times New Roman" w:cs="Times New Roman"/>
        </w:rPr>
        <w:t>most expos</w:t>
      </w:r>
      <w:r>
        <w:rPr>
          <w:rFonts w:ascii="Times New Roman" w:hAnsi="Times New Roman" w:cs="Times New Roman"/>
        </w:rPr>
        <w:t>ure</w:t>
      </w:r>
      <w:r w:rsidR="00BC6998" w:rsidRPr="00222AD1">
        <w:rPr>
          <w:rFonts w:ascii="Times New Roman" w:hAnsi="Times New Roman" w:cs="Times New Roman"/>
        </w:rPr>
        <w:t xml:space="preserve"> to </w:t>
      </w:r>
      <w:r>
        <w:rPr>
          <w:rFonts w:ascii="Times New Roman" w:hAnsi="Times New Roman" w:cs="Times New Roman"/>
        </w:rPr>
        <w:t xml:space="preserve">the </w:t>
      </w:r>
      <w:r w:rsidR="00BC6998" w:rsidRPr="00222AD1">
        <w:rPr>
          <w:rFonts w:ascii="Times New Roman" w:hAnsi="Times New Roman" w:cs="Times New Roman"/>
        </w:rPr>
        <w:t xml:space="preserve">Midlands. </w:t>
      </w:r>
      <w:r>
        <w:rPr>
          <w:rFonts w:ascii="Times New Roman" w:hAnsi="Times New Roman" w:cs="Times New Roman"/>
        </w:rPr>
        <w:t>We wouldn’t classify them as a direct competitor to Urban Logistics, due to their primary ownership of big box assets.</w:t>
      </w:r>
    </w:p>
    <w:p w14:paraId="7B6687BC" w14:textId="77777777" w:rsidR="000604DE" w:rsidRPr="00222AD1" w:rsidRDefault="000604DE" w:rsidP="00BC6998">
      <w:pPr>
        <w:rPr>
          <w:rFonts w:ascii="Times New Roman" w:hAnsi="Times New Roman" w:cs="Times New Roman"/>
        </w:rPr>
      </w:pPr>
    </w:p>
    <w:p w14:paraId="27722571" w14:textId="77777777" w:rsidR="00BC6998" w:rsidRPr="00222AD1" w:rsidRDefault="00BC6998" w:rsidP="00BC6998">
      <w:pPr>
        <w:rPr>
          <w:rFonts w:ascii="Times New Roman" w:hAnsi="Times New Roman" w:cs="Times New Roman"/>
          <w:b/>
          <w:u w:val="single"/>
        </w:rPr>
      </w:pPr>
      <w:r w:rsidRPr="00222AD1">
        <w:rPr>
          <w:rFonts w:ascii="Times New Roman" w:hAnsi="Times New Roman" w:cs="Times New Roman"/>
          <w:b/>
          <w:u w:val="single"/>
        </w:rPr>
        <w:t>3PL</w:t>
      </w:r>
    </w:p>
    <w:p w14:paraId="61133A7D" w14:textId="77777777" w:rsidR="00901EB5" w:rsidRPr="000604DE" w:rsidRDefault="000604DE" w:rsidP="000604DE">
      <w:pPr>
        <w:rPr>
          <w:rFonts w:ascii="Times New Roman" w:hAnsi="Times New Roman" w:cs="Times New Roman"/>
        </w:rPr>
      </w:pPr>
      <w:r>
        <w:rPr>
          <w:rFonts w:ascii="Times New Roman" w:hAnsi="Times New Roman" w:cs="Times New Roman"/>
        </w:rPr>
        <w:t xml:space="preserve">Third party logistics companies such as </w:t>
      </w:r>
      <w:r w:rsidR="00BC6998" w:rsidRPr="00222AD1">
        <w:rPr>
          <w:rFonts w:ascii="Times New Roman" w:hAnsi="Times New Roman" w:cs="Times New Roman"/>
        </w:rPr>
        <w:t xml:space="preserve">Amazon, DHL, XPO etc. </w:t>
      </w:r>
      <w:r>
        <w:rPr>
          <w:rFonts w:ascii="Times New Roman" w:hAnsi="Times New Roman" w:cs="Times New Roman"/>
        </w:rPr>
        <w:t xml:space="preserve">have been </w:t>
      </w:r>
      <w:r w:rsidR="00BC6998" w:rsidRPr="00222AD1">
        <w:rPr>
          <w:rFonts w:ascii="Times New Roman" w:hAnsi="Times New Roman" w:cs="Times New Roman"/>
        </w:rPr>
        <w:t>buying properties at an increasing rate, typically with a growth rate higher than that of which they are increasing leased properties.</w:t>
      </w:r>
      <w:r>
        <w:rPr>
          <w:rFonts w:ascii="Times New Roman" w:hAnsi="Times New Roman" w:cs="Times New Roman"/>
        </w:rPr>
        <w:t xml:space="preserve"> No exact numbers could be sourced for the pace of this growth, but it represent only a small proportion of the overall last mile warehousing space in the UK.</w:t>
      </w:r>
    </w:p>
    <w:p w14:paraId="39B7B077" w14:textId="77777777" w:rsidR="00901EB5" w:rsidRDefault="00901EB5">
      <w:pPr>
        <w:spacing w:line="240" w:lineRule="exact"/>
        <w:rPr>
          <w:rFonts w:ascii="Calibri" w:eastAsia="Calibri" w:hAnsi="Calibri" w:cs="Calibri"/>
        </w:rPr>
      </w:pPr>
    </w:p>
    <w:p w14:paraId="56F9A404" w14:textId="77777777" w:rsidR="00901EB5" w:rsidRDefault="00901EB5">
      <w:pPr>
        <w:spacing w:line="240" w:lineRule="exact"/>
        <w:rPr>
          <w:rFonts w:ascii="Calibri" w:eastAsia="Calibri" w:hAnsi="Calibri" w:cs="Calibri"/>
        </w:rPr>
      </w:pPr>
    </w:p>
    <w:p w14:paraId="4215FEAD" w14:textId="77777777" w:rsidR="00901EB5" w:rsidRDefault="00901EB5">
      <w:pPr>
        <w:spacing w:line="240" w:lineRule="exact"/>
        <w:rPr>
          <w:rFonts w:ascii="Calibri" w:eastAsia="Calibri" w:hAnsi="Calibri" w:cs="Calibri"/>
        </w:rPr>
      </w:pPr>
    </w:p>
    <w:p w14:paraId="60D808CA" w14:textId="77777777" w:rsidR="00901EB5" w:rsidRDefault="00901EB5">
      <w:pPr>
        <w:spacing w:line="240" w:lineRule="exact"/>
        <w:rPr>
          <w:rFonts w:ascii="Calibri" w:eastAsia="Calibri" w:hAnsi="Calibri" w:cs="Calibri"/>
        </w:rPr>
      </w:pPr>
    </w:p>
    <w:p w14:paraId="5AD61455" w14:textId="77777777" w:rsidR="00901EB5" w:rsidRDefault="00901EB5">
      <w:pPr>
        <w:spacing w:line="240" w:lineRule="exact"/>
        <w:rPr>
          <w:rFonts w:ascii="Calibri" w:eastAsia="Calibri" w:hAnsi="Calibri" w:cs="Calibri"/>
        </w:rPr>
      </w:pPr>
    </w:p>
    <w:p w14:paraId="61D6F0BF" w14:textId="77777777" w:rsidR="00901EB5" w:rsidRDefault="00901EB5">
      <w:pPr>
        <w:spacing w:line="240" w:lineRule="exact"/>
        <w:rPr>
          <w:rFonts w:ascii="Calibri" w:eastAsia="Calibri" w:hAnsi="Calibri" w:cs="Calibri"/>
        </w:rPr>
      </w:pPr>
    </w:p>
    <w:p w14:paraId="0DDEB07F" w14:textId="77777777" w:rsidR="00901EB5" w:rsidRDefault="00901EB5">
      <w:pPr>
        <w:spacing w:line="240" w:lineRule="exact"/>
        <w:rPr>
          <w:rFonts w:ascii="Calibri" w:eastAsia="Calibri" w:hAnsi="Calibri" w:cs="Calibri"/>
        </w:rPr>
      </w:pPr>
    </w:p>
    <w:p w14:paraId="3325BB33" w14:textId="77777777" w:rsidR="00901EB5" w:rsidRDefault="00901EB5">
      <w:pPr>
        <w:spacing w:line="240" w:lineRule="exact"/>
        <w:rPr>
          <w:rFonts w:ascii="Calibri" w:eastAsia="Calibri" w:hAnsi="Calibri" w:cs="Calibri"/>
        </w:rPr>
      </w:pPr>
    </w:p>
    <w:p w14:paraId="498B5CCF" w14:textId="77777777" w:rsidR="00901EB5" w:rsidRDefault="00901EB5">
      <w:pPr>
        <w:spacing w:line="240" w:lineRule="exact"/>
        <w:rPr>
          <w:rFonts w:ascii="Calibri" w:eastAsia="Calibri" w:hAnsi="Calibri" w:cs="Calibri"/>
        </w:rPr>
      </w:pPr>
    </w:p>
    <w:p w14:paraId="02743D68" w14:textId="77777777" w:rsidR="00901EB5" w:rsidRDefault="00901EB5">
      <w:pPr>
        <w:spacing w:line="240" w:lineRule="exact"/>
        <w:rPr>
          <w:rFonts w:ascii="Calibri" w:eastAsia="Calibri" w:hAnsi="Calibri" w:cs="Calibri"/>
        </w:rPr>
      </w:pPr>
    </w:p>
    <w:p w14:paraId="406467D8" w14:textId="77777777" w:rsidR="00901EB5" w:rsidRDefault="00901EB5">
      <w:pPr>
        <w:spacing w:line="240" w:lineRule="exact"/>
        <w:rPr>
          <w:rFonts w:ascii="Calibri" w:eastAsia="Calibri" w:hAnsi="Calibri" w:cs="Calibri"/>
        </w:rPr>
      </w:pPr>
    </w:p>
    <w:p w14:paraId="66F091A0" w14:textId="77777777" w:rsidR="00901EB5" w:rsidRDefault="00901EB5">
      <w:pPr>
        <w:spacing w:line="240" w:lineRule="exact"/>
        <w:rPr>
          <w:rFonts w:ascii="Calibri" w:eastAsia="Calibri" w:hAnsi="Calibri" w:cs="Calibri"/>
        </w:rPr>
      </w:pPr>
    </w:p>
    <w:p w14:paraId="360F94E5" w14:textId="77777777" w:rsidR="00901EB5" w:rsidRDefault="00901EB5">
      <w:pPr>
        <w:spacing w:line="240" w:lineRule="exact"/>
        <w:rPr>
          <w:rFonts w:ascii="Calibri" w:eastAsia="Calibri" w:hAnsi="Calibri" w:cs="Calibri"/>
        </w:rPr>
      </w:pPr>
    </w:p>
    <w:p w14:paraId="0ECFF301" w14:textId="77777777" w:rsidR="00901EB5" w:rsidRDefault="00901EB5">
      <w:pPr>
        <w:spacing w:line="240" w:lineRule="exact"/>
        <w:rPr>
          <w:rFonts w:ascii="Calibri" w:eastAsia="Calibri" w:hAnsi="Calibri" w:cs="Calibri"/>
        </w:rPr>
      </w:pPr>
    </w:p>
    <w:p w14:paraId="5AAA30B9" w14:textId="77777777" w:rsidR="00901EB5" w:rsidRDefault="00901EB5">
      <w:pPr>
        <w:spacing w:line="240" w:lineRule="exact"/>
        <w:rPr>
          <w:rFonts w:ascii="Calibri" w:eastAsia="Calibri" w:hAnsi="Calibri" w:cs="Calibri"/>
        </w:rPr>
      </w:pPr>
    </w:p>
    <w:p w14:paraId="4E1C0E5C" w14:textId="77777777" w:rsidR="00901EB5" w:rsidRDefault="00901EB5">
      <w:pPr>
        <w:sectPr w:rsidR="00901EB5" w:rsidSect="00C31C96">
          <w:pgSz w:w="10800" w:h="15600"/>
          <w:pgMar w:top="474" w:right="511" w:bottom="0" w:left="478" w:header="720" w:footer="227" w:gutter="0"/>
          <w:cols w:space="708"/>
          <w:docGrid w:linePitch="326"/>
        </w:sectPr>
      </w:pPr>
    </w:p>
    <w:p w14:paraId="658F42C9" w14:textId="77777777" w:rsidR="00901EB5" w:rsidRDefault="00901EB5">
      <w:pPr>
        <w:spacing w:line="240" w:lineRule="exact"/>
        <w:rPr>
          <w:rFonts w:ascii="Calibri" w:eastAsia="Calibri" w:hAnsi="Calibri" w:cs="Calibri"/>
        </w:rPr>
      </w:pPr>
    </w:p>
    <w:p w14:paraId="4401F974" w14:textId="77777777" w:rsidR="00C31C96" w:rsidRDefault="00C31C96">
      <w:pPr>
        <w:spacing w:line="240" w:lineRule="exact"/>
        <w:rPr>
          <w:rFonts w:ascii="Calibri" w:eastAsia="Calibri" w:hAnsi="Calibri" w:cs="Calibri"/>
        </w:rPr>
      </w:pPr>
    </w:p>
    <w:p w14:paraId="1ACBA837" w14:textId="77777777" w:rsidR="00901EB5" w:rsidRDefault="00901EB5">
      <w:pPr>
        <w:spacing w:after="49" w:line="240" w:lineRule="exact"/>
        <w:rPr>
          <w:rFonts w:ascii="Calibri" w:eastAsia="Calibri" w:hAnsi="Calibri" w:cs="Calibri"/>
        </w:rPr>
      </w:pPr>
    </w:p>
    <w:p w14:paraId="12010DFD" w14:textId="77777777" w:rsidR="00901EB5" w:rsidRDefault="008B48BC">
      <w:pPr>
        <w:ind w:right="-20"/>
        <w:rPr>
          <w:rFonts w:ascii="Calibri" w:eastAsia="Calibri" w:hAnsi="Calibri" w:cs="Calibri"/>
          <w:b/>
          <w:bCs/>
          <w:i/>
          <w:iCs/>
          <w:color w:val="44546A"/>
          <w:sz w:val="36"/>
          <w:szCs w:val="36"/>
        </w:rPr>
      </w:pPr>
      <w:r>
        <w:rPr>
          <w:rFonts w:ascii="Calibri" w:eastAsia="Calibri" w:hAnsi="Calibri" w:cs="Calibri"/>
          <w:b/>
          <w:bCs/>
          <w:i/>
          <w:iCs/>
          <w:color w:val="44546A"/>
          <w:sz w:val="36"/>
          <w:szCs w:val="36"/>
        </w:rPr>
        <w:t>Appendix</w:t>
      </w:r>
    </w:p>
    <w:p w14:paraId="4D826BBD" w14:textId="77777777" w:rsidR="00901EB5" w:rsidRDefault="0069012A">
      <w:pPr>
        <w:spacing w:line="240" w:lineRule="exact"/>
        <w:rPr>
          <w:rFonts w:ascii="Calibri" w:eastAsia="Calibri" w:hAnsi="Calibri" w:cs="Calibri"/>
        </w:rPr>
      </w:pPr>
      <w:r>
        <w:rPr>
          <w:rFonts w:ascii="Calibri" w:eastAsia="Calibri" w:hAnsi="Calibri" w:cs="Calibri"/>
          <w:noProof/>
        </w:rPr>
        <mc:AlternateContent>
          <mc:Choice Requires="wps">
            <w:drawing>
              <wp:anchor distT="0" distB="0" distL="114300" distR="114300" simplePos="0" relativeHeight="251733504" behindDoc="0" locked="0" layoutInCell="1" allowOverlap="1" wp14:anchorId="3C5EED4C" wp14:editId="20C2413F">
                <wp:simplePos x="0" y="0"/>
                <wp:positionH relativeFrom="column">
                  <wp:posOffset>4814</wp:posOffset>
                </wp:positionH>
                <wp:positionV relativeFrom="paragraph">
                  <wp:posOffset>119823</wp:posOffset>
                </wp:positionV>
                <wp:extent cx="5717894" cy="7655442"/>
                <wp:effectExtent l="0" t="0" r="10160" b="15875"/>
                <wp:wrapNone/>
                <wp:docPr id="99" name="Text Box 99"/>
                <wp:cNvGraphicFramePr/>
                <a:graphic xmlns:a="http://schemas.openxmlformats.org/drawingml/2006/main">
                  <a:graphicData uri="http://schemas.microsoft.com/office/word/2010/wordprocessingShape">
                    <wps:wsp>
                      <wps:cNvSpPr txBox="1"/>
                      <wps:spPr>
                        <a:xfrm>
                          <a:off x="0" y="0"/>
                          <a:ext cx="5717894" cy="7655442"/>
                        </a:xfrm>
                        <a:prstGeom prst="rect">
                          <a:avLst/>
                        </a:prstGeom>
                        <a:solidFill>
                          <a:schemeClr val="lt1"/>
                        </a:solidFill>
                        <a:ln w="6350">
                          <a:solidFill>
                            <a:prstClr val="black"/>
                          </a:solidFill>
                        </a:ln>
                      </wps:spPr>
                      <wps:txbx>
                        <w:txbxContent>
                          <w:p w14:paraId="70C5DA97" w14:textId="77777777" w:rsidR="00062D14" w:rsidRDefault="00062D14">
                            <w:r>
                              <w:rPr>
                                <w:noProof/>
                              </w:rPr>
                              <w:drawing>
                                <wp:inline distT="0" distB="0" distL="0" distR="0" wp14:anchorId="00600A04" wp14:editId="7F6CFBB3">
                                  <wp:extent cx="4572000" cy="2743200"/>
                                  <wp:effectExtent l="0" t="0" r="0" b="0"/>
                                  <wp:docPr id="100" name="Chart 100">
                                    <a:extLst xmlns:a="http://schemas.openxmlformats.org/drawingml/2006/main">
                                      <a:ext uri="{FF2B5EF4-FFF2-40B4-BE49-F238E27FC236}">
                                        <a16:creationId xmlns:a16="http://schemas.microsoft.com/office/drawing/2014/main" id="{8546128F-5442-1741-9AA2-7A5972C83A20}"/>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100" name="Chart 100">
                                            <a:extLst>
                                              <a:ext uri="{FF2B5EF4-FFF2-40B4-BE49-F238E27FC236}">
                                                <a16:creationId xmlns:a16="http://schemas.microsoft.com/office/drawing/2014/main" id="{8546128F-5442-1741-9AA2-7A5972C83A20}"/>
                                              </a:ext>
                                            </a:extLst>
                                          </pic:cNvPr>
                                          <pic:cNvPicPr>
                                            <a:picLocks noGrp="1" noRot="1" noChangeAspect="1" noMove="1" noResize="1" noEditPoints="1" noAdjustHandles="1" noChangeArrowheads="1" noChangeShapeType="1"/>
                                          </pic:cNvPicPr>
                                        </pic:nvPicPr>
                                        <pic:blipFill>
                                          <a:blip r:embed="rId17"/>
                                          <a:stretch>
                                            <a:fillRect/>
                                          </a:stretch>
                                        </pic:blipFill>
                                        <pic:spPr>
                                          <a:xfrm>
                                            <a:off x="0" y="0"/>
                                            <a:ext cx="4572000" cy="2743200"/>
                                          </a:xfrm>
                                          <a:prstGeom prst="rect">
                                            <a:avLst/>
                                          </a:prstGeom>
                                        </pic:spPr>
                                      </pic:pic>
                                    </a:graphicData>
                                  </a:graphic>
                                </wp:inline>
                              </w:drawing>
                            </w:r>
                          </w:p>
                          <w:p w14:paraId="715FC8A4" w14:textId="77777777" w:rsidR="00062D14" w:rsidRDefault="00062D14"/>
                          <w:p w14:paraId="02A12A1A" w14:textId="77777777" w:rsidR="00062D14" w:rsidRDefault="00062D14">
                            <w:r>
                              <w:rPr>
                                <w:noProof/>
                              </w:rPr>
                              <w:drawing>
                                <wp:inline distT="0" distB="0" distL="0" distR="0" wp14:anchorId="13010C16" wp14:editId="2A397099">
                                  <wp:extent cx="2286000" cy="1666754"/>
                                  <wp:effectExtent l="0" t="0" r="12700" b="10160"/>
                                  <wp:docPr id="95" name="Chart 95">
                                    <a:extLst xmlns:a="http://schemas.openxmlformats.org/drawingml/2006/main">
                                      <a:ext uri="{FF2B5EF4-FFF2-40B4-BE49-F238E27FC236}">
                                        <a16:creationId xmlns:a16="http://schemas.microsoft.com/office/drawing/2014/main" id="{05E03179-CFF9-6D41-A166-63B2AC0AD44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BD8D7EC" w14:textId="77777777" w:rsidR="00062D14" w:rsidRDefault="00062D14">
                            <w:r>
                              <w:rPr>
                                <w:noProof/>
                              </w:rPr>
                              <w:drawing>
                                <wp:inline distT="0" distB="0" distL="0" distR="0" wp14:anchorId="78A177CB" wp14:editId="657D9B42">
                                  <wp:extent cx="4572000" cy="2743200"/>
                                  <wp:effectExtent l="0" t="0" r="12700" b="12700"/>
                                  <wp:docPr id="104" name="Chart 104">
                                    <a:extLst xmlns:a="http://schemas.openxmlformats.org/drawingml/2006/main">
                                      <a:ext uri="{FF2B5EF4-FFF2-40B4-BE49-F238E27FC236}">
                                        <a16:creationId xmlns:a16="http://schemas.microsoft.com/office/drawing/2014/main" id="{110FDAF9-F5BA-7140-9CC5-58679C36B0B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Pr>
                                <w:noProof/>
                              </w:rPr>
                              <w:drawing>
                                <wp:inline distT="0" distB="0" distL="0" distR="0" wp14:anchorId="1EBA1E34" wp14:editId="65256198">
                                  <wp:extent cx="4572000" cy="2743200"/>
                                  <wp:effectExtent l="0" t="0" r="12700" b="12700"/>
                                  <wp:docPr id="107" name="Chart 107">
                                    <a:extLst xmlns:a="http://schemas.openxmlformats.org/drawingml/2006/main">
                                      <a:ext uri="{FF2B5EF4-FFF2-40B4-BE49-F238E27FC236}">
                                        <a16:creationId xmlns:a16="http://schemas.microsoft.com/office/drawing/2014/main" id="{D947CD3F-8700-7144-A301-D49C95408A0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5EED4C" id="Text Box 99" o:spid="_x0000_s1047" type="#_x0000_t202" style="position:absolute;margin-left:.4pt;margin-top:9.45pt;width:450.25pt;height:602.8pt;z-index:251733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" fillcolor="white [3201]" strokeweight=".5pt">
                <v:textbox>
                  <w:txbxContent>
                    <w:p w14:paraId="70C5DA97" w14:textId="77777777" w:rsidR="00062D14" w:rsidRDefault="00062D14">
                      <w:r>
                        <w:rPr>
                          <w:noProof/>
                        </w:rPr>
                        <w:drawing>
                          <wp:inline distT="0" distB="0" distL="0" distR="0" wp14:anchorId="00600A04" wp14:editId="7F6CFBB3">
                            <wp:extent cx="4572000" cy="2743200"/>
                            <wp:effectExtent l="0" t="0" r="0" b="0"/>
                            <wp:docPr id="100" name="Chart 100">
                              <a:extLst xmlns:a="http://schemas.openxmlformats.org/drawingml/2006/main">
                                <a:ext uri="{FF2B5EF4-FFF2-40B4-BE49-F238E27FC236}">
                                  <a16:creationId xmlns:a16="http://schemas.microsoft.com/office/drawing/2014/main" id="{8546128F-5442-1741-9AA2-7A5972C83A20}"/>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100" name="Chart 100">
                                      <a:extLst>
                                        <a:ext uri="{FF2B5EF4-FFF2-40B4-BE49-F238E27FC236}">
                                          <a16:creationId xmlns:a16="http://schemas.microsoft.com/office/drawing/2014/main" id="{8546128F-5442-1741-9AA2-7A5972C83A20}"/>
                                        </a:ext>
                                      </a:extLst>
                                    </pic:cNvPr>
                                    <pic:cNvPicPr>
                                      <a:picLocks noGrp="1" noRot="1" noChangeAspect="1" noMove="1" noResize="1" noEditPoints="1" noAdjustHandles="1" noChangeArrowheads="1" noChangeShapeType="1"/>
                                    </pic:cNvPicPr>
                                  </pic:nvPicPr>
                                  <pic:blipFill>
                                    <a:blip r:embed="rId17"/>
                                    <a:stretch>
                                      <a:fillRect/>
                                    </a:stretch>
                                  </pic:blipFill>
                                  <pic:spPr>
                                    <a:xfrm>
                                      <a:off x="0" y="0"/>
                                      <a:ext cx="4572000" cy="2743200"/>
                                    </a:xfrm>
                                    <a:prstGeom prst="rect">
                                      <a:avLst/>
                                    </a:prstGeom>
                                  </pic:spPr>
                                </pic:pic>
                              </a:graphicData>
                            </a:graphic>
                          </wp:inline>
                        </w:drawing>
                      </w:r>
                    </w:p>
                    <w:p w14:paraId="715FC8A4" w14:textId="77777777" w:rsidR="00062D14" w:rsidRDefault="00062D14"/>
                    <w:p w14:paraId="02A12A1A" w14:textId="77777777" w:rsidR="00062D14" w:rsidRDefault="00062D14">
                      <w:r>
                        <w:rPr>
                          <w:noProof/>
                        </w:rPr>
                        <w:drawing>
                          <wp:inline distT="0" distB="0" distL="0" distR="0" wp14:anchorId="13010C16" wp14:editId="2A397099">
                            <wp:extent cx="2286000" cy="1666754"/>
                            <wp:effectExtent l="0" t="0" r="12700" b="10160"/>
                            <wp:docPr id="95" name="Chart 95">
                              <a:extLst xmlns:a="http://schemas.openxmlformats.org/drawingml/2006/main">
                                <a:ext uri="{FF2B5EF4-FFF2-40B4-BE49-F238E27FC236}">
                                  <a16:creationId xmlns:a16="http://schemas.microsoft.com/office/drawing/2014/main" id="{05E03179-CFF9-6D41-A166-63B2AC0AD44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BD8D7EC" w14:textId="77777777" w:rsidR="00062D14" w:rsidRDefault="00062D14">
                      <w:r>
                        <w:rPr>
                          <w:noProof/>
                        </w:rPr>
                        <w:drawing>
                          <wp:inline distT="0" distB="0" distL="0" distR="0" wp14:anchorId="78A177CB" wp14:editId="657D9B42">
                            <wp:extent cx="4572000" cy="2743200"/>
                            <wp:effectExtent l="0" t="0" r="12700" b="12700"/>
                            <wp:docPr id="104" name="Chart 104">
                              <a:extLst xmlns:a="http://schemas.openxmlformats.org/drawingml/2006/main">
                                <a:ext uri="{FF2B5EF4-FFF2-40B4-BE49-F238E27FC236}">
                                  <a16:creationId xmlns:a16="http://schemas.microsoft.com/office/drawing/2014/main" id="{110FDAF9-F5BA-7140-9CC5-58679C36B0B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Pr>
                          <w:noProof/>
                        </w:rPr>
                        <w:drawing>
                          <wp:inline distT="0" distB="0" distL="0" distR="0" wp14:anchorId="1EBA1E34" wp14:editId="65256198">
                            <wp:extent cx="4572000" cy="2743200"/>
                            <wp:effectExtent l="0" t="0" r="12700" b="12700"/>
                            <wp:docPr id="107" name="Chart 107">
                              <a:extLst xmlns:a="http://schemas.openxmlformats.org/drawingml/2006/main">
                                <a:ext uri="{FF2B5EF4-FFF2-40B4-BE49-F238E27FC236}">
                                  <a16:creationId xmlns:a16="http://schemas.microsoft.com/office/drawing/2014/main" id="{D947CD3F-8700-7144-A301-D49C95408A0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xbxContent>
                </v:textbox>
              </v:shape>
            </w:pict>
          </mc:Fallback>
        </mc:AlternateContent>
      </w:r>
    </w:p>
    <w:p w14:paraId="1F6C20C8" w14:textId="77777777" w:rsidR="00901EB5" w:rsidRDefault="00901EB5">
      <w:pPr>
        <w:spacing w:line="240" w:lineRule="exact"/>
        <w:rPr>
          <w:rFonts w:ascii="Calibri" w:eastAsia="Calibri" w:hAnsi="Calibri" w:cs="Calibri"/>
        </w:rPr>
      </w:pPr>
    </w:p>
    <w:p w14:paraId="12325A72" w14:textId="77777777" w:rsidR="00901EB5" w:rsidRDefault="00901EB5">
      <w:pPr>
        <w:spacing w:line="240" w:lineRule="exact"/>
        <w:rPr>
          <w:rFonts w:ascii="Calibri" w:eastAsia="Calibri" w:hAnsi="Calibri" w:cs="Calibri"/>
        </w:rPr>
      </w:pPr>
    </w:p>
    <w:p w14:paraId="30C48D53" w14:textId="77777777" w:rsidR="00901EB5" w:rsidRDefault="00901EB5">
      <w:pPr>
        <w:spacing w:line="240" w:lineRule="exact"/>
        <w:rPr>
          <w:rFonts w:ascii="Calibri" w:eastAsia="Calibri" w:hAnsi="Calibri" w:cs="Calibri"/>
        </w:rPr>
      </w:pPr>
    </w:p>
    <w:p w14:paraId="7F6E6EAF" w14:textId="77777777" w:rsidR="00901EB5" w:rsidRDefault="00901EB5">
      <w:pPr>
        <w:spacing w:line="240" w:lineRule="exact"/>
        <w:rPr>
          <w:rFonts w:ascii="Calibri" w:eastAsia="Calibri" w:hAnsi="Calibri" w:cs="Calibri"/>
        </w:rPr>
      </w:pPr>
    </w:p>
    <w:p w14:paraId="4A991EFE" w14:textId="77777777" w:rsidR="00901EB5" w:rsidRDefault="00901EB5">
      <w:pPr>
        <w:spacing w:line="240" w:lineRule="exact"/>
        <w:rPr>
          <w:rFonts w:ascii="Calibri" w:eastAsia="Calibri" w:hAnsi="Calibri" w:cs="Calibri"/>
        </w:rPr>
      </w:pPr>
    </w:p>
    <w:p w14:paraId="6F46D402" w14:textId="77777777" w:rsidR="00901EB5" w:rsidRDefault="00901EB5">
      <w:pPr>
        <w:spacing w:line="240" w:lineRule="exact"/>
        <w:rPr>
          <w:rFonts w:ascii="Calibri" w:eastAsia="Calibri" w:hAnsi="Calibri" w:cs="Calibri"/>
        </w:rPr>
      </w:pPr>
    </w:p>
    <w:p w14:paraId="0B40337C" w14:textId="77777777" w:rsidR="00901EB5" w:rsidRDefault="00901EB5">
      <w:pPr>
        <w:spacing w:line="240" w:lineRule="exact"/>
        <w:rPr>
          <w:rFonts w:ascii="Calibri" w:eastAsia="Calibri" w:hAnsi="Calibri" w:cs="Calibri"/>
        </w:rPr>
      </w:pPr>
    </w:p>
    <w:p w14:paraId="3903DF1C" w14:textId="77777777" w:rsidR="00901EB5" w:rsidRDefault="00901EB5">
      <w:pPr>
        <w:spacing w:line="240" w:lineRule="exact"/>
        <w:rPr>
          <w:rFonts w:ascii="Calibri" w:eastAsia="Calibri" w:hAnsi="Calibri" w:cs="Calibri"/>
        </w:rPr>
      </w:pPr>
    </w:p>
    <w:p w14:paraId="6492FE73" w14:textId="77777777" w:rsidR="00901EB5" w:rsidRDefault="00901EB5">
      <w:pPr>
        <w:spacing w:line="240" w:lineRule="exact"/>
        <w:rPr>
          <w:rFonts w:ascii="Calibri" w:eastAsia="Calibri" w:hAnsi="Calibri" w:cs="Calibri"/>
        </w:rPr>
      </w:pPr>
    </w:p>
    <w:p w14:paraId="76387457" w14:textId="77777777" w:rsidR="00901EB5" w:rsidRDefault="00901EB5">
      <w:pPr>
        <w:spacing w:line="240" w:lineRule="exact"/>
        <w:rPr>
          <w:rFonts w:ascii="Calibri" w:eastAsia="Calibri" w:hAnsi="Calibri" w:cs="Calibri"/>
        </w:rPr>
      </w:pPr>
    </w:p>
    <w:p w14:paraId="6ED42364" w14:textId="77777777" w:rsidR="00901EB5" w:rsidRDefault="00901EB5">
      <w:pPr>
        <w:spacing w:line="240" w:lineRule="exact"/>
        <w:rPr>
          <w:rFonts w:ascii="Calibri" w:eastAsia="Calibri" w:hAnsi="Calibri" w:cs="Calibri"/>
        </w:rPr>
      </w:pPr>
    </w:p>
    <w:p w14:paraId="5B5EA1D9" w14:textId="77777777" w:rsidR="00901EB5" w:rsidRDefault="00901EB5">
      <w:pPr>
        <w:spacing w:line="240" w:lineRule="exact"/>
        <w:rPr>
          <w:rFonts w:ascii="Calibri" w:eastAsia="Calibri" w:hAnsi="Calibri" w:cs="Calibri"/>
        </w:rPr>
      </w:pPr>
    </w:p>
    <w:p w14:paraId="5873D8AC" w14:textId="77777777" w:rsidR="00901EB5" w:rsidRDefault="00901EB5">
      <w:pPr>
        <w:spacing w:line="240" w:lineRule="exact"/>
        <w:rPr>
          <w:rFonts w:ascii="Calibri" w:eastAsia="Calibri" w:hAnsi="Calibri" w:cs="Calibri"/>
        </w:rPr>
      </w:pPr>
    </w:p>
    <w:p w14:paraId="6F4C2C54" w14:textId="77777777" w:rsidR="00901EB5" w:rsidRDefault="00901EB5">
      <w:pPr>
        <w:spacing w:line="240" w:lineRule="exact"/>
        <w:rPr>
          <w:rFonts w:ascii="Calibri" w:eastAsia="Calibri" w:hAnsi="Calibri" w:cs="Calibri"/>
        </w:rPr>
      </w:pPr>
    </w:p>
    <w:p w14:paraId="584D774B" w14:textId="77777777" w:rsidR="00901EB5" w:rsidRDefault="00901EB5">
      <w:pPr>
        <w:spacing w:line="240" w:lineRule="exact"/>
        <w:rPr>
          <w:rFonts w:ascii="Calibri" w:eastAsia="Calibri" w:hAnsi="Calibri" w:cs="Calibri"/>
        </w:rPr>
      </w:pPr>
    </w:p>
    <w:p w14:paraId="2EE65DED" w14:textId="77777777" w:rsidR="00901EB5" w:rsidRDefault="00901EB5">
      <w:pPr>
        <w:spacing w:line="240" w:lineRule="exact"/>
        <w:rPr>
          <w:rFonts w:ascii="Calibri" w:eastAsia="Calibri" w:hAnsi="Calibri" w:cs="Calibri"/>
        </w:rPr>
      </w:pPr>
    </w:p>
    <w:p w14:paraId="56AE133B" w14:textId="77777777" w:rsidR="00901EB5" w:rsidRDefault="00901EB5">
      <w:pPr>
        <w:spacing w:line="240" w:lineRule="exact"/>
        <w:rPr>
          <w:rFonts w:ascii="Calibri" w:eastAsia="Calibri" w:hAnsi="Calibri" w:cs="Calibri"/>
        </w:rPr>
      </w:pPr>
    </w:p>
    <w:p w14:paraId="6F2498DF" w14:textId="77777777" w:rsidR="00901EB5" w:rsidRDefault="00901EB5">
      <w:pPr>
        <w:spacing w:line="240" w:lineRule="exact"/>
        <w:rPr>
          <w:rFonts w:ascii="Calibri" w:eastAsia="Calibri" w:hAnsi="Calibri" w:cs="Calibri"/>
        </w:rPr>
      </w:pPr>
    </w:p>
    <w:p w14:paraId="6A098611" w14:textId="77777777" w:rsidR="00901EB5" w:rsidRDefault="00901EB5">
      <w:pPr>
        <w:spacing w:line="240" w:lineRule="exact"/>
        <w:rPr>
          <w:rFonts w:ascii="Calibri" w:eastAsia="Calibri" w:hAnsi="Calibri" w:cs="Calibri"/>
        </w:rPr>
      </w:pPr>
    </w:p>
    <w:p w14:paraId="0A69191D" w14:textId="77777777" w:rsidR="00901EB5" w:rsidRDefault="00901EB5">
      <w:pPr>
        <w:spacing w:line="240" w:lineRule="exact"/>
        <w:rPr>
          <w:rFonts w:ascii="Calibri" w:eastAsia="Calibri" w:hAnsi="Calibri" w:cs="Calibri"/>
        </w:rPr>
      </w:pPr>
    </w:p>
    <w:p w14:paraId="7CF52654" w14:textId="77777777" w:rsidR="00901EB5" w:rsidRDefault="00901EB5">
      <w:pPr>
        <w:spacing w:line="287" w:lineRule="exact"/>
        <w:ind w:left="-20"/>
        <w:jc w:val="right"/>
        <w:rPr>
          <w:rFonts w:ascii="Calibri" w:eastAsia="Calibri" w:hAnsi="Calibri" w:cs="Calibri"/>
          <w:i/>
          <w:iCs/>
          <w:color w:val="000000"/>
        </w:rPr>
      </w:pPr>
    </w:p>
    <w:p w14:paraId="63CC5894" w14:textId="77777777" w:rsidR="001312C3" w:rsidRDefault="001312C3">
      <w:pPr>
        <w:spacing w:line="287" w:lineRule="exact"/>
        <w:ind w:left="-20"/>
        <w:jc w:val="right"/>
        <w:rPr>
          <w:rFonts w:ascii="Calibri" w:eastAsia="Calibri" w:hAnsi="Calibri" w:cs="Calibri"/>
          <w:i/>
          <w:iCs/>
          <w:color w:val="000000"/>
        </w:rPr>
      </w:pPr>
    </w:p>
    <w:p w14:paraId="316F0D8B" w14:textId="77777777" w:rsidR="001312C3" w:rsidRDefault="001312C3">
      <w:pPr>
        <w:spacing w:line="287" w:lineRule="exact"/>
        <w:ind w:left="-20"/>
        <w:jc w:val="right"/>
        <w:rPr>
          <w:rFonts w:ascii="Calibri" w:eastAsia="Calibri" w:hAnsi="Calibri" w:cs="Calibri"/>
          <w:i/>
          <w:iCs/>
          <w:color w:val="000000"/>
        </w:rPr>
      </w:pPr>
    </w:p>
    <w:p w14:paraId="0C6756EE" w14:textId="77777777" w:rsidR="001312C3" w:rsidRDefault="001312C3">
      <w:pPr>
        <w:spacing w:line="287" w:lineRule="exact"/>
        <w:ind w:left="-20"/>
        <w:jc w:val="right"/>
        <w:rPr>
          <w:rFonts w:ascii="Calibri" w:eastAsia="Calibri" w:hAnsi="Calibri" w:cs="Calibri"/>
          <w:i/>
          <w:iCs/>
          <w:color w:val="000000"/>
        </w:rPr>
      </w:pPr>
    </w:p>
    <w:p w14:paraId="737E9C3C" w14:textId="77777777" w:rsidR="001312C3" w:rsidRDefault="001312C3">
      <w:pPr>
        <w:spacing w:line="287" w:lineRule="exact"/>
        <w:ind w:left="-20"/>
        <w:jc w:val="right"/>
        <w:rPr>
          <w:rFonts w:ascii="Calibri" w:eastAsia="Calibri" w:hAnsi="Calibri" w:cs="Calibri"/>
          <w:i/>
          <w:iCs/>
          <w:color w:val="000000"/>
        </w:rPr>
      </w:pPr>
    </w:p>
    <w:p w14:paraId="5B3C9757" w14:textId="77777777" w:rsidR="001312C3" w:rsidRDefault="001312C3">
      <w:pPr>
        <w:spacing w:line="287" w:lineRule="exact"/>
        <w:ind w:left="-20"/>
        <w:jc w:val="right"/>
        <w:rPr>
          <w:rFonts w:ascii="Calibri" w:eastAsia="Calibri" w:hAnsi="Calibri" w:cs="Calibri"/>
          <w:i/>
          <w:iCs/>
          <w:color w:val="000000"/>
        </w:rPr>
      </w:pPr>
    </w:p>
    <w:p w14:paraId="3E86D406" w14:textId="77777777" w:rsidR="001312C3" w:rsidRDefault="001312C3">
      <w:pPr>
        <w:spacing w:line="287" w:lineRule="exact"/>
        <w:ind w:left="-20"/>
        <w:jc w:val="right"/>
        <w:rPr>
          <w:rFonts w:ascii="Calibri" w:eastAsia="Calibri" w:hAnsi="Calibri" w:cs="Calibri"/>
          <w:i/>
          <w:iCs/>
          <w:color w:val="000000"/>
        </w:rPr>
      </w:pPr>
    </w:p>
    <w:p w14:paraId="5580C7D7" w14:textId="77777777" w:rsidR="001312C3" w:rsidRDefault="001312C3">
      <w:pPr>
        <w:spacing w:line="287" w:lineRule="exact"/>
        <w:ind w:left="-20"/>
        <w:jc w:val="right"/>
        <w:rPr>
          <w:rFonts w:ascii="Calibri" w:eastAsia="Calibri" w:hAnsi="Calibri" w:cs="Calibri"/>
          <w:i/>
          <w:iCs/>
          <w:color w:val="000000"/>
        </w:rPr>
      </w:pPr>
    </w:p>
    <w:p w14:paraId="487F5EE4" w14:textId="77777777" w:rsidR="001312C3" w:rsidRDefault="001312C3">
      <w:pPr>
        <w:spacing w:line="287" w:lineRule="exact"/>
        <w:ind w:left="-20"/>
        <w:jc w:val="right"/>
        <w:rPr>
          <w:rFonts w:ascii="Calibri" w:eastAsia="Calibri" w:hAnsi="Calibri" w:cs="Calibri"/>
          <w:i/>
          <w:iCs/>
          <w:color w:val="000000"/>
        </w:rPr>
      </w:pPr>
    </w:p>
    <w:p w14:paraId="59683E39" w14:textId="77777777" w:rsidR="001312C3" w:rsidRDefault="001312C3">
      <w:pPr>
        <w:spacing w:line="287" w:lineRule="exact"/>
        <w:ind w:left="-20"/>
        <w:jc w:val="right"/>
        <w:rPr>
          <w:rFonts w:ascii="Calibri" w:eastAsia="Calibri" w:hAnsi="Calibri" w:cs="Calibri"/>
          <w:i/>
          <w:iCs/>
          <w:color w:val="000000"/>
        </w:rPr>
      </w:pPr>
    </w:p>
    <w:p w14:paraId="0F27F20B" w14:textId="77777777" w:rsidR="001312C3" w:rsidRDefault="001312C3">
      <w:pPr>
        <w:spacing w:line="287" w:lineRule="exact"/>
        <w:ind w:left="-20"/>
        <w:jc w:val="right"/>
        <w:rPr>
          <w:rFonts w:ascii="Calibri" w:eastAsia="Calibri" w:hAnsi="Calibri" w:cs="Calibri"/>
          <w:i/>
          <w:iCs/>
          <w:color w:val="000000"/>
        </w:rPr>
      </w:pPr>
    </w:p>
    <w:p w14:paraId="0A7D419A" w14:textId="77777777" w:rsidR="001312C3" w:rsidRDefault="001312C3">
      <w:pPr>
        <w:spacing w:line="287" w:lineRule="exact"/>
        <w:ind w:left="-20"/>
        <w:jc w:val="right"/>
        <w:rPr>
          <w:rFonts w:ascii="Calibri" w:eastAsia="Calibri" w:hAnsi="Calibri" w:cs="Calibri"/>
          <w:i/>
          <w:iCs/>
          <w:color w:val="000000"/>
        </w:rPr>
      </w:pPr>
    </w:p>
    <w:p w14:paraId="024A6DDE" w14:textId="77777777" w:rsidR="001312C3" w:rsidRDefault="001312C3">
      <w:pPr>
        <w:spacing w:line="287" w:lineRule="exact"/>
        <w:ind w:left="-20"/>
        <w:jc w:val="right"/>
        <w:rPr>
          <w:rFonts w:ascii="Calibri" w:eastAsia="Calibri" w:hAnsi="Calibri" w:cs="Calibri"/>
          <w:i/>
          <w:iCs/>
          <w:color w:val="000000"/>
        </w:rPr>
      </w:pPr>
    </w:p>
    <w:p w14:paraId="7C65849C" w14:textId="77777777" w:rsidR="001312C3" w:rsidRDefault="001312C3">
      <w:pPr>
        <w:spacing w:line="287" w:lineRule="exact"/>
        <w:ind w:left="-20"/>
        <w:jc w:val="right"/>
        <w:rPr>
          <w:rFonts w:ascii="Calibri" w:eastAsia="Calibri" w:hAnsi="Calibri" w:cs="Calibri"/>
          <w:i/>
          <w:iCs/>
          <w:color w:val="000000"/>
        </w:rPr>
      </w:pPr>
    </w:p>
    <w:p w14:paraId="5D9D3FE5" w14:textId="77777777" w:rsidR="001312C3" w:rsidRDefault="001312C3">
      <w:pPr>
        <w:spacing w:line="287" w:lineRule="exact"/>
        <w:ind w:left="-20"/>
        <w:jc w:val="right"/>
        <w:rPr>
          <w:rFonts w:ascii="Calibri" w:eastAsia="Calibri" w:hAnsi="Calibri" w:cs="Calibri"/>
          <w:i/>
          <w:iCs/>
          <w:color w:val="000000"/>
        </w:rPr>
      </w:pPr>
    </w:p>
    <w:p w14:paraId="74A92242" w14:textId="77777777" w:rsidR="001312C3" w:rsidRDefault="001312C3">
      <w:pPr>
        <w:spacing w:line="287" w:lineRule="exact"/>
        <w:ind w:left="-20"/>
        <w:jc w:val="right"/>
        <w:rPr>
          <w:rFonts w:ascii="Calibri" w:eastAsia="Calibri" w:hAnsi="Calibri" w:cs="Calibri"/>
          <w:i/>
          <w:iCs/>
          <w:color w:val="000000"/>
        </w:rPr>
      </w:pPr>
    </w:p>
    <w:p w14:paraId="179437AA" w14:textId="77777777" w:rsidR="001312C3" w:rsidRDefault="001312C3">
      <w:pPr>
        <w:spacing w:line="287" w:lineRule="exact"/>
        <w:ind w:left="-20"/>
        <w:jc w:val="right"/>
        <w:rPr>
          <w:rFonts w:ascii="Calibri" w:eastAsia="Calibri" w:hAnsi="Calibri" w:cs="Calibri"/>
          <w:i/>
          <w:iCs/>
          <w:color w:val="000000"/>
        </w:rPr>
      </w:pPr>
    </w:p>
    <w:p w14:paraId="2C2827A3" w14:textId="77777777" w:rsidR="001312C3" w:rsidRDefault="001312C3">
      <w:pPr>
        <w:spacing w:line="287" w:lineRule="exact"/>
        <w:ind w:left="-20"/>
        <w:jc w:val="right"/>
        <w:rPr>
          <w:rFonts w:ascii="Calibri" w:eastAsia="Calibri" w:hAnsi="Calibri" w:cs="Calibri"/>
          <w:i/>
          <w:iCs/>
          <w:color w:val="000000"/>
        </w:rPr>
      </w:pPr>
    </w:p>
    <w:p w14:paraId="1B855882" w14:textId="77777777" w:rsidR="001312C3" w:rsidRDefault="001312C3">
      <w:pPr>
        <w:spacing w:line="287" w:lineRule="exact"/>
        <w:ind w:left="-20"/>
        <w:jc w:val="right"/>
        <w:rPr>
          <w:rFonts w:ascii="Calibri" w:eastAsia="Calibri" w:hAnsi="Calibri" w:cs="Calibri"/>
          <w:i/>
          <w:iCs/>
          <w:color w:val="000000"/>
        </w:rPr>
      </w:pPr>
    </w:p>
    <w:p w14:paraId="65A120DB" w14:textId="77777777" w:rsidR="001312C3" w:rsidRDefault="001312C3">
      <w:pPr>
        <w:spacing w:line="287" w:lineRule="exact"/>
        <w:ind w:left="-20"/>
        <w:jc w:val="right"/>
        <w:rPr>
          <w:rFonts w:ascii="Calibri" w:eastAsia="Calibri" w:hAnsi="Calibri" w:cs="Calibri"/>
          <w:i/>
          <w:iCs/>
          <w:color w:val="000000"/>
        </w:rPr>
      </w:pPr>
    </w:p>
    <w:p w14:paraId="71766326" w14:textId="77777777" w:rsidR="001312C3" w:rsidRDefault="001312C3">
      <w:pPr>
        <w:spacing w:line="287" w:lineRule="exact"/>
        <w:ind w:left="-20"/>
        <w:jc w:val="right"/>
        <w:rPr>
          <w:rFonts w:ascii="Calibri" w:eastAsia="Calibri" w:hAnsi="Calibri" w:cs="Calibri"/>
          <w:i/>
          <w:iCs/>
          <w:color w:val="000000"/>
        </w:rPr>
      </w:pPr>
    </w:p>
    <w:p w14:paraId="65C690BA" w14:textId="77777777" w:rsidR="001312C3" w:rsidRDefault="001312C3">
      <w:pPr>
        <w:spacing w:line="287" w:lineRule="exact"/>
        <w:ind w:left="-20"/>
        <w:jc w:val="right"/>
        <w:rPr>
          <w:rFonts w:ascii="Calibri" w:eastAsia="Calibri" w:hAnsi="Calibri" w:cs="Calibri"/>
          <w:i/>
          <w:iCs/>
          <w:color w:val="000000"/>
        </w:rPr>
      </w:pPr>
    </w:p>
    <w:p w14:paraId="0DAB2D61" w14:textId="77777777" w:rsidR="001312C3" w:rsidRDefault="001312C3">
      <w:pPr>
        <w:spacing w:line="287" w:lineRule="exact"/>
        <w:ind w:left="-20"/>
        <w:jc w:val="right"/>
        <w:rPr>
          <w:rFonts w:ascii="Calibri" w:eastAsia="Calibri" w:hAnsi="Calibri" w:cs="Calibri"/>
          <w:i/>
          <w:iCs/>
          <w:color w:val="000000"/>
        </w:rPr>
      </w:pPr>
    </w:p>
    <w:p w14:paraId="7AF894BD" w14:textId="77777777" w:rsidR="001312C3" w:rsidRDefault="001312C3">
      <w:pPr>
        <w:spacing w:line="287" w:lineRule="exact"/>
        <w:ind w:left="-20"/>
        <w:jc w:val="right"/>
        <w:rPr>
          <w:rFonts w:ascii="Calibri" w:eastAsia="Calibri" w:hAnsi="Calibri" w:cs="Calibri"/>
          <w:i/>
          <w:iCs/>
          <w:color w:val="000000"/>
        </w:rPr>
      </w:pPr>
    </w:p>
    <w:p w14:paraId="2D6F00D6" w14:textId="77777777" w:rsidR="001312C3" w:rsidRDefault="001312C3">
      <w:pPr>
        <w:spacing w:line="287" w:lineRule="exact"/>
        <w:ind w:left="-20"/>
        <w:jc w:val="right"/>
        <w:rPr>
          <w:rFonts w:ascii="Calibri" w:eastAsia="Calibri" w:hAnsi="Calibri" w:cs="Calibri"/>
          <w:i/>
          <w:iCs/>
          <w:color w:val="000000"/>
        </w:rPr>
      </w:pPr>
    </w:p>
    <w:p w14:paraId="167FD40E" w14:textId="77777777" w:rsidR="001312C3" w:rsidRDefault="001312C3">
      <w:pPr>
        <w:spacing w:line="287" w:lineRule="exact"/>
        <w:ind w:left="-20"/>
        <w:jc w:val="right"/>
        <w:rPr>
          <w:rFonts w:ascii="Calibri" w:eastAsia="Calibri" w:hAnsi="Calibri" w:cs="Calibri"/>
          <w:i/>
          <w:iCs/>
          <w:color w:val="000000"/>
        </w:rPr>
      </w:pPr>
    </w:p>
    <w:p w14:paraId="40F6ED69" w14:textId="77777777" w:rsidR="001312C3" w:rsidRDefault="001312C3">
      <w:pPr>
        <w:spacing w:line="287" w:lineRule="exact"/>
        <w:ind w:left="-20"/>
        <w:jc w:val="right"/>
        <w:rPr>
          <w:rFonts w:ascii="Calibri" w:eastAsia="Calibri" w:hAnsi="Calibri" w:cs="Calibri"/>
          <w:i/>
          <w:iCs/>
          <w:color w:val="000000"/>
        </w:rPr>
      </w:pPr>
    </w:p>
    <w:p w14:paraId="5BFEA431" w14:textId="4F649CCF" w:rsidR="001312C3" w:rsidRDefault="001312C3" w:rsidP="001312C3">
      <w:pPr>
        <w:spacing w:line="287" w:lineRule="exact"/>
        <w:ind w:left="-20"/>
        <w:rPr>
          <w:rFonts w:ascii="Calibri" w:eastAsia="Calibri" w:hAnsi="Calibri" w:cs="Calibri"/>
          <w:i/>
          <w:iCs/>
          <w:color w:val="000000"/>
        </w:rPr>
      </w:pPr>
    </w:p>
    <w:p w14:paraId="52EDDDD7" w14:textId="77777777" w:rsidR="001312C3" w:rsidRDefault="001312C3" w:rsidP="001312C3">
      <w:pPr>
        <w:spacing w:line="287" w:lineRule="exact"/>
        <w:ind w:left="-20"/>
        <w:rPr>
          <w:rFonts w:ascii="Calibri" w:eastAsia="Calibri" w:hAnsi="Calibri" w:cs="Calibri"/>
          <w:i/>
          <w:iCs/>
          <w:color w:val="000000"/>
        </w:rPr>
      </w:pPr>
    </w:p>
    <w:p w14:paraId="0A646C7B" w14:textId="77777777" w:rsidR="001312C3" w:rsidRDefault="001312C3" w:rsidP="001312C3">
      <w:pPr>
        <w:spacing w:line="287" w:lineRule="exact"/>
        <w:ind w:left="-20"/>
        <w:rPr>
          <w:rFonts w:ascii="Calibri" w:eastAsia="Calibri" w:hAnsi="Calibri" w:cs="Calibri"/>
          <w:i/>
          <w:iCs/>
          <w:color w:val="000000"/>
        </w:rPr>
      </w:pPr>
    </w:p>
    <w:p w14:paraId="49A26953" w14:textId="77777777" w:rsidR="001312C3" w:rsidRDefault="001312C3" w:rsidP="001312C3">
      <w:pPr>
        <w:spacing w:line="287" w:lineRule="exact"/>
        <w:ind w:left="-20"/>
        <w:rPr>
          <w:rFonts w:ascii="Calibri" w:eastAsia="Calibri" w:hAnsi="Calibri" w:cs="Calibri"/>
          <w:i/>
          <w:iCs/>
          <w:color w:val="000000"/>
        </w:rPr>
      </w:pPr>
    </w:p>
    <w:p w14:paraId="76AF694B" w14:textId="77777777" w:rsidR="001312C3" w:rsidRDefault="001312C3" w:rsidP="001312C3">
      <w:pPr>
        <w:ind w:right="-20"/>
        <w:rPr>
          <w:rFonts w:ascii="Calibri" w:eastAsia="Calibri" w:hAnsi="Calibri" w:cs="Calibri"/>
          <w:b/>
          <w:bCs/>
          <w:i/>
          <w:iCs/>
          <w:color w:val="44546A"/>
          <w:sz w:val="36"/>
          <w:szCs w:val="36"/>
        </w:rPr>
      </w:pPr>
      <w:r>
        <w:rPr>
          <w:rFonts w:ascii="Calibri" w:eastAsia="Calibri" w:hAnsi="Calibri" w:cs="Calibri"/>
          <w:b/>
          <w:bCs/>
          <w:i/>
          <w:iCs/>
          <w:color w:val="44546A"/>
          <w:sz w:val="36"/>
          <w:szCs w:val="36"/>
        </w:rPr>
        <w:t>Appendix</w:t>
      </w:r>
    </w:p>
    <w:p w14:paraId="426761C6" w14:textId="77777777" w:rsidR="001312C3" w:rsidRDefault="001312C3" w:rsidP="001312C3">
      <w:pPr>
        <w:pStyle w:val="Heading1"/>
        <w:jc w:val="both"/>
      </w:pPr>
      <w:r w:rsidRPr="0043157B">
        <w:t xml:space="preserve">Historical </w:t>
      </w:r>
      <w:r>
        <w:t>P</w:t>
      </w:r>
      <w:r w:rsidRPr="0043157B">
        <w:t xml:space="preserve">erformance, </w:t>
      </w:r>
      <w:r>
        <w:t>S</w:t>
      </w:r>
      <w:r w:rsidRPr="0043157B">
        <w:t xml:space="preserve">trategy &amp; </w:t>
      </w:r>
      <w:r>
        <w:t>M</w:t>
      </w:r>
      <w:r w:rsidRPr="0043157B">
        <w:t>anagement</w:t>
      </w:r>
    </w:p>
    <w:p w14:paraId="131EC8C4" w14:textId="77777777" w:rsidR="001312C3" w:rsidRDefault="001312C3" w:rsidP="001312C3">
      <w:pPr>
        <w:jc w:val="both"/>
      </w:pPr>
    </w:p>
    <w:p w14:paraId="1F08C6E5" w14:textId="77777777" w:rsidR="001312C3" w:rsidRDefault="001312C3" w:rsidP="001312C3">
      <w:pPr>
        <w:jc w:val="both"/>
      </w:pPr>
    </w:p>
    <w:p w14:paraId="2EC301CE" w14:textId="77777777" w:rsidR="001312C3" w:rsidRDefault="001312C3" w:rsidP="001312C3">
      <w:pPr>
        <w:pStyle w:val="Heading2"/>
        <w:jc w:val="both"/>
        <w:rPr>
          <w:szCs w:val="32"/>
        </w:rPr>
      </w:pPr>
      <w:r w:rsidRPr="0043157B">
        <w:rPr>
          <w:szCs w:val="32"/>
        </w:rPr>
        <w:t>Historical Performance</w:t>
      </w:r>
    </w:p>
    <w:p w14:paraId="0A2901AC" w14:textId="77777777" w:rsidR="001312C3" w:rsidRDefault="001312C3" w:rsidP="001312C3">
      <w:pPr>
        <w:jc w:val="both"/>
      </w:pPr>
    </w:p>
    <w:p w14:paraId="6231E20C" w14:textId="77777777" w:rsidR="001312C3" w:rsidRPr="00D16E9C" w:rsidRDefault="001312C3" w:rsidP="001312C3">
      <w:pPr>
        <w:jc w:val="both"/>
        <w:rPr>
          <w:rFonts w:ascii="Financier Display Semibold" w:hAnsi="Financier Display Semibold"/>
          <w:b/>
          <w:bCs/>
          <w:i/>
          <w:iCs/>
        </w:rPr>
      </w:pPr>
      <w:r w:rsidRPr="00D16E9C">
        <w:rPr>
          <w:rFonts w:ascii="Financier Display Semibold" w:hAnsi="Financier Display Semibold"/>
          <w:b/>
          <w:bCs/>
          <w:i/>
          <w:iCs/>
        </w:rPr>
        <w:t>Stock Price Performance</w:t>
      </w:r>
    </w:p>
    <w:p w14:paraId="2EB9D9E6" w14:textId="77777777" w:rsidR="001312C3" w:rsidRDefault="001312C3" w:rsidP="001312C3">
      <w:pPr>
        <w:jc w:val="center"/>
      </w:pPr>
      <w:r>
        <w:rPr>
          <w:noProof/>
        </w:rPr>
        <w:drawing>
          <wp:inline distT="0" distB="0" distL="0" distR="0" wp14:anchorId="4CEF1A76" wp14:editId="0BD7122A">
            <wp:extent cx="5539546" cy="2778125"/>
            <wp:effectExtent l="0" t="0" r="0" b="317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l="1581" t="3718" r="1660" b="20187"/>
                    <a:stretch/>
                  </pic:blipFill>
                  <pic:spPr bwMode="auto">
                    <a:xfrm>
                      <a:off x="0" y="0"/>
                      <a:ext cx="5542064" cy="2779388"/>
                    </a:xfrm>
                    <a:prstGeom prst="rect">
                      <a:avLst/>
                    </a:prstGeom>
                    <a:ln>
                      <a:noFill/>
                    </a:ln>
                    <a:extLst>
                      <a:ext uri="{53640926-AAD7-44D8-BBD7-CCE9431645EC}">
                        <a14:shadowObscured xmlns:a14="http://schemas.microsoft.com/office/drawing/2010/main"/>
                      </a:ext>
                    </a:extLst>
                  </pic:spPr>
                </pic:pic>
              </a:graphicData>
            </a:graphic>
          </wp:inline>
        </w:drawing>
      </w:r>
    </w:p>
    <w:p w14:paraId="2AE929D8" w14:textId="77777777" w:rsidR="001312C3" w:rsidRPr="004C6B12" w:rsidRDefault="001312C3" w:rsidP="001312C3">
      <w:pPr>
        <w:jc w:val="center"/>
        <w:rPr>
          <w:i/>
          <w:iCs/>
        </w:rPr>
      </w:pPr>
      <w:r w:rsidRPr="004C6B12">
        <w:rPr>
          <w:i/>
          <w:iCs/>
        </w:rPr>
        <w:t>Source: Orbis</w:t>
      </w:r>
    </w:p>
    <w:p w14:paraId="4DF6FC6A" w14:textId="77777777" w:rsidR="001312C3" w:rsidRDefault="001312C3" w:rsidP="001312C3">
      <w:pPr>
        <w:jc w:val="both"/>
        <w:rPr>
          <w:i/>
          <w:iCs/>
        </w:rPr>
      </w:pPr>
    </w:p>
    <w:p w14:paraId="173E4A26" w14:textId="77777777" w:rsidR="001312C3" w:rsidRDefault="001312C3" w:rsidP="001312C3">
      <w:pPr>
        <w:jc w:val="both"/>
      </w:pPr>
      <w:r>
        <w:t>The share price has increased by 35% since the IPO in April 2016, which corresponds to an annualised return</w:t>
      </w:r>
      <w:r>
        <w:rPr>
          <w:rStyle w:val="FootnoteReference"/>
        </w:rPr>
        <w:footnoteReference w:id="1"/>
      </w:r>
      <w:r>
        <w:t xml:space="preserve"> of approximately 11.8%.</w:t>
      </w:r>
    </w:p>
    <w:p w14:paraId="4BAF4CE6" w14:textId="77777777" w:rsidR="001312C3" w:rsidRPr="00BE50A3" w:rsidRDefault="001312C3" w:rsidP="001312C3">
      <w:pPr>
        <w:jc w:val="both"/>
      </w:pPr>
    </w:p>
    <w:p w14:paraId="1F25FD22" w14:textId="77777777" w:rsidR="001312C3" w:rsidRDefault="001312C3" w:rsidP="001312C3">
      <w:pPr>
        <w:jc w:val="both"/>
        <w:rPr>
          <w:i/>
          <w:iCs/>
        </w:rPr>
      </w:pPr>
    </w:p>
    <w:p w14:paraId="0F6CB235" w14:textId="77777777" w:rsidR="001312C3" w:rsidRDefault="001312C3" w:rsidP="001312C3">
      <w:pPr>
        <w:jc w:val="both"/>
        <w:rPr>
          <w:rFonts w:ascii="Financier Display Semibold" w:hAnsi="Financier Display Semibold"/>
          <w:b/>
          <w:bCs/>
          <w:i/>
          <w:iCs/>
        </w:rPr>
      </w:pPr>
      <w:r w:rsidRPr="00D16E9C">
        <w:rPr>
          <w:rFonts w:ascii="Financier Display Semibold" w:hAnsi="Financier Display Semibold"/>
          <w:b/>
          <w:bCs/>
          <w:i/>
          <w:iCs/>
        </w:rPr>
        <w:t>Dividends</w:t>
      </w:r>
    </w:p>
    <w:p w14:paraId="57FD5F36" w14:textId="77777777" w:rsidR="001312C3" w:rsidRPr="00D16E9C" w:rsidRDefault="001312C3" w:rsidP="001312C3">
      <w:pPr>
        <w:jc w:val="both"/>
        <w:rPr>
          <w:rFonts w:ascii="Financier Display Semibold" w:hAnsi="Financier Display Semibold"/>
          <w:b/>
          <w:bCs/>
          <w:i/>
          <w:iCs/>
        </w:rPr>
      </w:pP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1624"/>
        <w:gridCol w:w="1802"/>
        <w:gridCol w:w="1540"/>
      </w:tblGrid>
      <w:tr w:rsidR="001312C3" w14:paraId="0EAAAB9F" w14:textId="77777777" w:rsidTr="000167D1">
        <w:trPr>
          <w:jc w:val="center"/>
        </w:trPr>
        <w:tc>
          <w:tcPr>
            <w:tcW w:w="1980" w:type="dxa"/>
            <w:tcBorders>
              <w:top w:val="single" w:sz="4" w:space="0" w:color="auto"/>
              <w:bottom w:val="single" w:sz="4" w:space="0" w:color="auto"/>
            </w:tcBorders>
            <w:vAlign w:val="center"/>
          </w:tcPr>
          <w:p w14:paraId="2E3A9128" w14:textId="77777777" w:rsidR="001312C3" w:rsidRPr="003C4237" w:rsidRDefault="001312C3" w:rsidP="000167D1">
            <w:pPr>
              <w:jc w:val="center"/>
              <w:rPr>
                <w:i/>
                <w:iCs/>
              </w:rPr>
            </w:pPr>
            <w:r w:rsidRPr="003C4237">
              <w:rPr>
                <w:i/>
                <w:iCs/>
              </w:rPr>
              <w:t>In £ pence</w:t>
            </w:r>
          </w:p>
        </w:tc>
        <w:tc>
          <w:tcPr>
            <w:tcW w:w="1624" w:type="dxa"/>
            <w:tcBorders>
              <w:top w:val="single" w:sz="4" w:space="0" w:color="auto"/>
              <w:bottom w:val="single" w:sz="4" w:space="0" w:color="auto"/>
            </w:tcBorders>
            <w:vAlign w:val="center"/>
          </w:tcPr>
          <w:p w14:paraId="17DF6CA6" w14:textId="77777777" w:rsidR="001312C3" w:rsidRPr="003C4237" w:rsidRDefault="001312C3" w:rsidP="000167D1">
            <w:pPr>
              <w:jc w:val="center"/>
              <w:rPr>
                <w:i/>
                <w:iCs/>
              </w:rPr>
            </w:pPr>
            <w:r>
              <w:rPr>
                <w:i/>
                <w:iCs/>
              </w:rPr>
              <w:t xml:space="preserve">Year ending </w:t>
            </w:r>
            <w:r w:rsidRPr="003C4237">
              <w:rPr>
                <w:i/>
                <w:iCs/>
              </w:rPr>
              <w:t>3</w:t>
            </w:r>
            <w:r>
              <w:rPr>
                <w:i/>
                <w:iCs/>
              </w:rPr>
              <w:t>1</w:t>
            </w:r>
            <w:r w:rsidRPr="003C4237">
              <w:rPr>
                <w:i/>
                <w:iCs/>
              </w:rPr>
              <w:t>/</w:t>
            </w:r>
            <w:r>
              <w:rPr>
                <w:i/>
                <w:iCs/>
              </w:rPr>
              <w:t>03</w:t>
            </w:r>
            <w:r w:rsidRPr="003C4237">
              <w:rPr>
                <w:i/>
                <w:iCs/>
              </w:rPr>
              <w:t>/19</w:t>
            </w:r>
          </w:p>
        </w:tc>
        <w:tc>
          <w:tcPr>
            <w:tcW w:w="1802" w:type="dxa"/>
            <w:tcBorders>
              <w:top w:val="single" w:sz="4" w:space="0" w:color="auto"/>
              <w:bottom w:val="single" w:sz="4" w:space="0" w:color="auto"/>
            </w:tcBorders>
            <w:vAlign w:val="center"/>
          </w:tcPr>
          <w:p w14:paraId="7157C9DC" w14:textId="77777777" w:rsidR="001312C3" w:rsidRPr="003C4237" w:rsidRDefault="001312C3" w:rsidP="000167D1">
            <w:pPr>
              <w:jc w:val="center"/>
              <w:rPr>
                <w:i/>
                <w:iCs/>
              </w:rPr>
            </w:pPr>
            <w:r>
              <w:rPr>
                <w:i/>
                <w:iCs/>
              </w:rPr>
              <w:t xml:space="preserve">Year ending </w:t>
            </w:r>
            <w:r w:rsidRPr="003C4237">
              <w:rPr>
                <w:i/>
                <w:iCs/>
              </w:rPr>
              <w:t>3</w:t>
            </w:r>
            <w:r>
              <w:rPr>
                <w:i/>
                <w:iCs/>
              </w:rPr>
              <w:t>1</w:t>
            </w:r>
            <w:r w:rsidRPr="003C4237">
              <w:rPr>
                <w:i/>
                <w:iCs/>
              </w:rPr>
              <w:t>/</w:t>
            </w:r>
            <w:r>
              <w:rPr>
                <w:i/>
                <w:iCs/>
              </w:rPr>
              <w:t>03</w:t>
            </w:r>
            <w:r w:rsidRPr="003C4237">
              <w:rPr>
                <w:i/>
                <w:iCs/>
              </w:rPr>
              <w:t>/1</w:t>
            </w:r>
            <w:r>
              <w:rPr>
                <w:i/>
                <w:iCs/>
              </w:rPr>
              <w:t>8</w:t>
            </w:r>
          </w:p>
        </w:tc>
        <w:tc>
          <w:tcPr>
            <w:tcW w:w="1540" w:type="dxa"/>
            <w:tcBorders>
              <w:top w:val="single" w:sz="4" w:space="0" w:color="auto"/>
              <w:bottom w:val="single" w:sz="4" w:space="0" w:color="auto"/>
            </w:tcBorders>
          </w:tcPr>
          <w:p w14:paraId="4FE7E78B" w14:textId="77777777" w:rsidR="001312C3" w:rsidRPr="003C4237" w:rsidRDefault="001312C3" w:rsidP="000167D1">
            <w:pPr>
              <w:jc w:val="center"/>
              <w:rPr>
                <w:i/>
                <w:iCs/>
              </w:rPr>
            </w:pPr>
            <w:r w:rsidRPr="00AF709D">
              <w:rPr>
                <w:i/>
                <w:iCs/>
              </w:rPr>
              <w:t>Year ending 31/03/18</w:t>
            </w:r>
          </w:p>
        </w:tc>
      </w:tr>
      <w:tr w:rsidR="001312C3" w14:paraId="49D2D6DE" w14:textId="77777777" w:rsidTr="000167D1">
        <w:trPr>
          <w:trHeight w:val="493"/>
          <w:jc w:val="center"/>
        </w:trPr>
        <w:tc>
          <w:tcPr>
            <w:tcW w:w="1980" w:type="dxa"/>
            <w:tcBorders>
              <w:top w:val="single" w:sz="4" w:space="0" w:color="auto"/>
              <w:bottom w:val="single" w:sz="4" w:space="0" w:color="auto"/>
            </w:tcBorders>
            <w:vAlign w:val="center"/>
          </w:tcPr>
          <w:p w14:paraId="4486AA5C" w14:textId="77777777" w:rsidR="001312C3" w:rsidRPr="003C4237" w:rsidRDefault="001312C3" w:rsidP="000167D1">
            <w:pPr>
              <w:jc w:val="center"/>
              <w:rPr>
                <w:i/>
                <w:iCs/>
              </w:rPr>
            </w:pPr>
            <w:r w:rsidRPr="003C4237">
              <w:rPr>
                <w:i/>
                <w:iCs/>
              </w:rPr>
              <w:t>Dividends paid</w:t>
            </w:r>
          </w:p>
        </w:tc>
        <w:tc>
          <w:tcPr>
            <w:tcW w:w="1624" w:type="dxa"/>
            <w:tcBorders>
              <w:top w:val="single" w:sz="4" w:space="0" w:color="auto"/>
              <w:bottom w:val="single" w:sz="4" w:space="0" w:color="auto"/>
            </w:tcBorders>
            <w:vAlign w:val="center"/>
          </w:tcPr>
          <w:p w14:paraId="7D425CB7" w14:textId="77777777" w:rsidR="001312C3" w:rsidRDefault="001312C3" w:rsidP="000167D1">
            <w:pPr>
              <w:jc w:val="center"/>
            </w:pPr>
            <w:r>
              <w:t>7.0</w:t>
            </w:r>
          </w:p>
        </w:tc>
        <w:tc>
          <w:tcPr>
            <w:tcW w:w="1802" w:type="dxa"/>
            <w:tcBorders>
              <w:top w:val="single" w:sz="4" w:space="0" w:color="auto"/>
              <w:bottom w:val="single" w:sz="4" w:space="0" w:color="auto"/>
            </w:tcBorders>
            <w:vAlign w:val="center"/>
          </w:tcPr>
          <w:p w14:paraId="75EBDBC0" w14:textId="77777777" w:rsidR="001312C3" w:rsidRDefault="001312C3" w:rsidP="000167D1">
            <w:pPr>
              <w:jc w:val="center"/>
            </w:pPr>
            <w:r>
              <w:t>6.32</w:t>
            </w:r>
          </w:p>
        </w:tc>
        <w:tc>
          <w:tcPr>
            <w:tcW w:w="1540" w:type="dxa"/>
            <w:tcBorders>
              <w:top w:val="single" w:sz="4" w:space="0" w:color="auto"/>
              <w:bottom w:val="single" w:sz="4" w:space="0" w:color="auto"/>
            </w:tcBorders>
            <w:vAlign w:val="center"/>
          </w:tcPr>
          <w:p w14:paraId="745A5DF1" w14:textId="77777777" w:rsidR="001312C3" w:rsidRDefault="001312C3" w:rsidP="000167D1">
            <w:pPr>
              <w:jc w:val="center"/>
            </w:pPr>
            <w:r>
              <w:t>6.0</w:t>
            </w:r>
          </w:p>
        </w:tc>
      </w:tr>
      <w:tr w:rsidR="001312C3" w14:paraId="0130C0E3" w14:textId="77777777" w:rsidTr="000167D1">
        <w:trPr>
          <w:trHeight w:val="493"/>
          <w:jc w:val="center"/>
        </w:trPr>
        <w:tc>
          <w:tcPr>
            <w:tcW w:w="1980" w:type="dxa"/>
            <w:tcBorders>
              <w:top w:val="single" w:sz="4" w:space="0" w:color="auto"/>
            </w:tcBorders>
            <w:vAlign w:val="center"/>
          </w:tcPr>
          <w:p w14:paraId="3889E747" w14:textId="77777777" w:rsidR="001312C3" w:rsidRPr="003C4237" w:rsidRDefault="001312C3" w:rsidP="000167D1">
            <w:pPr>
              <w:jc w:val="center"/>
              <w:rPr>
                <w:i/>
                <w:iCs/>
              </w:rPr>
            </w:pPr>
            <w:r>
              <w:rPr>
                <w:i/>
                <w:iCs/>
              </w:rPr>
              <w:t>Growth rate</w:t>
            </w:r>
          </w:p>
        </w:tc>
        <w:tc>
          <w:tcPr>
            <w:tcW w:w="1624" w:type="dxa"/>
            <w:tcBorders>
              <w:top w:val="single" w:sz="4" w:space="0" w:color="auto"/>
            </w:tcBorders>
            <w:vAlign w:val="center"/>
          </w:tcPr>
          <w:p w14:paraId="1D7A6676" w14:textId="77777777" w:rsidR="001312C3" w:rsidRDefault="001312C3" w:rsidP="000167D1">
            <w:pPr>
              <w:jc w:val="center"/>
            </w:pPr>
            <w:r>
              <w:t>10.8%</w:t>
            </w:r>
          </w:p>
        </w:tc>
        <w:tc>
          <w:tcPr>
            <w:tcW w:w="1802" w:type="dxa"/>
            <w:tcBorders>
              <w:top w:val="single" w:sz="4" w:space="0" w:color="auto"/>
            </w:tcBorders>
            <w:vAlign w:val="center"/>
          </w:tcPr>
          <w:p w14:paraId="7BB98445" w14:textId="77777777" w:rsidR="001312C3" w:rsidRDefault="001312C3" w:rsidP="000167D1">
            <w:pPr>
              <w:jc w:val="center"/>
            </w:pPr>
            <w:r>
              <w:t>5.33%</w:t>
            </w:r>
          </w:p>
        </w:tc>
        <w:tc>
          <w:tcPr>
            <w:tcW w:w="1540" w:type="dxa"/>
            <w:tcBorders>
              <w:top w:val="single" w:sz="4" w:space="0" w:color="auto"/>
            </w:tcBorders>
            <w:vAlign w:val="center"/>
          </w:tcPr>
          <w:p w14:paraId="17144F3E" w14:textId="77777777" w:rsidR="001312C3" w:rsidRDefault="001312C3" w:rsidP="000167D1">
            <w:pPr>
              <w:jc w:val="center"/>
            </w:pPr>
            <w:r>
              <w:t>-</w:t>
            </w:r>
          </w:p>
        </w:tc>
      </w:tr>
    </w:tbl>
    <w:p w14:paraId="46648341" w14:textId="77777777" w:rsidR="001312C3" w:rsidRPr="004C6B12" w:rsidRDefault="001312C3" w:rsidP="001312C3">
      <w:pPr>
        <w:jc w:val="center"/>
        <w:rPr>
          <w:i/>
          <w:iCs/>
        </w:rPr>
      </w:pPr>
      <w:r w:rsidRPr="004C6B12">
        <w:rPr>
          <w:i/>
          <w:iCs/>
        </w:rPr>
        <w:t>Source: 2019 and 2017 Annual Reports</w:t>
      </w:r>
    </w:p>
    <w:p w14:paraId="190C36B3" w14:textId="77777777" w:rsidR="001312C3" w:rsidRDefault="001312C3" w:rsidP="001312C3">
      <w:pPr>
        <w:jc w:val="both"/>
      </w:pPr>
    </w:p>
    <w:p w14:paraId="049B270E" w14:textId="77777777" w:rsidR="001312C3" w:rsidRDefault="001312C3" w:rsidP="001312C3">
      <w:pPr>
        <w:jc w:val="both"/>
      </w:pPr>
      <w:r>
        <w:t>Both stock price and dividends have steadily increased in the last 3 years, suggesting a good – although brief – overall performance of Urban Logistics REIT. Given that</w:t>
      </w:r>
      <w:r w:rsidRPr="00BE50A3">
        <w:t xml:space="preserve"> </w:t>
      </w:r>
      <w:r>
        <w:t xml:space="preserve">DUSIF’s investment horizon is significantly longer than 3 years, this performance should not be considered to be a proof of Urban Logistics’ value, but rather a sensitivity test on its overall stability.  </w:t>
      </w:r>
    </w:p>
    <w:p w14:paraId="4F35F623" w14:textId="77777777" w:rsidR="001312C3" w:rsidRPr="00D30A6D" w:rsidRDefault="001312C3" w:rsidP="001312C3">
      <w:pPr>
        <w:jc w:val="both"/>
      </w:pPr>
    </w:p>
    <w:p w14:paraId="64308371" w14:textId="77777777" w:rsidR="001312C3" w:rsidRDefault="001312C3" w:rsidP="001312C3">
      <w:pPr>
        <w:jc w:val="both"/>
      </w:pPr>
    </w:p>
    <w:p w14:paraId="342F6104" w14:textId="77777777" w:rsidR="001312C3" w:rsidRDefault="001312C3" w:rsidP="001312C3">
      <w:pPr>
        <w:pStyle w:val="Heading2"/>
        <w:jc w:val="both"/>
      </w:pPr>
      <w:r>
        <w:lastRenderedPageBreak/>
        <w:t>Strategy</w:t>
      </w:r>
    </w:p>
    <w:p w14:paraId="18A99D90" w14:textId="77777777" w:rsidR="001312C3" w:rsidRDefault="001312C3" w:rsidP="001312C3">
      <w:pPr>
        <w:jc w:val="both"/>
      </w:pPr>
    </w:p>
    <w:p w14:paraId="3E0E5F40" w14:textId="77777777" w:rsidR="001312C3" w:rsidRDefault="001312C3" w:rsidP="001312C3">
      <w:pPr>
        <w:jc w:val="both"/>
      </w:pPr>
      <w:r>
        <w:t xml:space="preserve">Urban Logistics aims to find well located single-let “last mile” and “middle box” logistics properties and to actively manage these assets to create value for both investors and tenants. </w:t>
      </w:r>
    </w:p>
    <w:p w14:paraId="4868EE18" w14:textId="77777777" w:rsidR="001312C3" w:rsidRDefault="001312C3" w:rsidP="001312C3">
      <w:pPr>
        <w:jc w:val="both"/>
      </w:pPr>
    </w:p>
    <w:p w14:paraId="7C82F25F" w14:textId="77777777" w:rsidR="001312C3" w:rsidRDefault="001312C3" w:rsidP="001312C3">
      <w:pPr>
        <w:jc w:val="both"/>
      </w:pPr>
      <w:r>
        <w:t>As part of their strategy Urban Logistics also buy and sell real estate assets. Recently Urban Logistics has disposed of 3 properties with an average profit over cost of 57%, which added with the income return during the ownership of the property implies a total property return of 50%.</w:t>
      </w:r>
    </w:p>
    <w:p w14:paraId="469916AE" w14:textId="77777777" w:rsidR="001312C3" w:rsidRDefault="001312C3" w:rsidP="001312C3">
      <w:pPr>
        <w:jc w:val="both"/>
      </w:pPr>
    </w:p>
    <w:p w14:paraId="7A07E7E6" w14:textId="77777777" w:rsidR="001312C3" w:rsidRDefault="001312C3" w:rsidP="001312C3">
      <w:pPr>
        <w:jc w:val="both"/>
      </w:pPr>
      <w:r>
        <w:t>Nuneaton</w:t>
      </w:r>
    </w:p>
    <w:p w14:paraId="1C5868D4" w14:textId="77777777" w:rsidR="001312C3" w:rsidRDefault="001312C3" w:rsidP="001312C3">
      <w:pPr>
        <w:jc w:val="both"/>
      </w:pPr>
      <w:r w:rsidRPr="004C6B12">
        <w:rPr>
          <w:i/>
          <w:iCs/>
          <w:color w:val="808080" w:themeColor="background1" w:themeShade="80"/>
        </w:rPr>
        <w:t xml:space="preserve">“The building was purchased as part of a portfolio in September 2017 for £6.7 million. The unit was acquired with vacant possession and was subject to a rent guarantee until September 2019. The property was sold to an owner occupier, </w:t>
      </w:r>
      <w:proofErr w:type="spellStart"/>
      <w:r w:rsidRPr="004C6B12">
        <w:rPr>
          <w:i/>
          <w:iCs/>
          <w:color w:val="808080" w:themeColor="background1" w:themeShade="80"/>
        </w:rPr>
        <w:t>Cofresh</w:t>
      </w:r>
      <w:proofErr w:type="spellEnd"/>
      <w:r w:rsidRPr="004C6B12">
        <w:rPr>
          <w:i/>
          <w:iCs/>
          <w:color w:val="808080" w:themeColor="background1" w:themeShade="80"/>
        </w:rPr>
        <w:t xml:space="preserve"> Limited, in April 2019 and realised a Total Property Return of 23%.”</w:t>
      </w:r>
      <w:r>
        <w:t xml:space="preserve"> Interim report September 2019</w:t>
      </w:r>
    </w:p>
    <w:p w14:paraId="06BA53AD" w14:textId="77777777" w:rsidR="001312C3" w:rsidRDefault="001312C3" w:rsidP="001312C3">
      <w:pPr>
        <w:jc w:val="both"/>
      </w:pPr>
    </w:p>
    <w:p w14:paraId="3528D257" w14:textId="77777777" w:rsidR="001312C3" w:rsidRDefault="001312C3" w:rsidP="001312C3">
      <w:pPr>
        <w:jc w:val="both"/>
      </w:pPr>
      <w:proofErr w:type="spellStart"/>
      <w:r>
        <w:t>Postley</w:t>
      </w:r>
      <w:proofErr w:type="spellEnd"/>
      <w:r>
        <w:t xml:space="preserve"> Road, Bedford</w:t>
      </w:r>
    </w:p>
    <w:p w14:paraId="7A1A19CF" w14:textId="77777777" w:rsidR="001312C3" w:rsidRDefault="001312C3" w:rsidP="001312C3">
      <w:pPr>
        <w:jc w:val="both"/>
      </w:pPr>
      <w:r w:rsidRPr="004C6B12">
        <w:rPr>
          <w:i/>
          <w:iCs/>
          <w:color w:val="808080" w:themeColor="background1" w:themeShade="80"/>
        </w:rPr>
        <w:t>“This property was purchased at IPO in 2016 for £5.6 million and comprises four industrial units with a piece of development land. After extensive asset management, increasing rents and lease terms, the fully occupied site was sold in May 2019 for £9.1 million and realised a Total Property Return of 73%. The land element has been retained and the purchaser has an option to acquire it for £0.5m if planning for redevelopment is granted.”</w:t>
      </w:r>
      <w:r w:rsidRPr="004C6B12">
        <w:rPr>
          <w:color w:val="808080" w:themeColor="background1" w:themeShade="80"/>
        </w:rPr>
        <w:t xml:space="preserve"> </w:t>
      </w:r>
      <w:r>
        <w:t>Interim report September 2019</w:t>
      </w:r>
    </w:p>
    <w:p w14:paraId="565D21F8" w14:textId="77777777" w:rsidR="001312C3" w:rsidRDefault="001312C3" w:rsidP="001312C3">
      <w:pPr>
        <w:jc w:val="both"/>
      </w:pPr>
    </w:p>
    <w:p w14:paraId="4DED0607" w14:textId="77777777" w:rsidR="001312C3" w:rsidRDefault="001312C3" w:rsidP="001312C3">
      <w:pPr>
        <w:jc w:val="both"/>
      </w:pPr>
    </w:p>
    <w:p w14:paraId="190D19B4" w14:textId="77777777" w:rsidR="001312C3" w:rsidRPr="00151F58" w:rsidRDefault="001312C3" w:rsidP="001312C3">
      <w:pPr>
        <w:jc w:val="both"/>
        <w:rPr>
          <w:rFonts w:ascii="Financier Display Semibold" w:hAnsi="Financier Display Semibold"/>
          <w:b/>
          <w:bCs/>
          <w:i/>
          <w:iCs/>
        </w:rPr>
      </w:pPr>
      <w:r w:rsidRPr="00D16E9C">
        <w:rPr>
          <w:rFonts w:ascii="Financier Display Semibold" w:hAnsi="Financier Display Semibold"/>
          <w:b/>
          <w:bCs/>
          <w:i/>
          <w:iCs/>
        </w:rPr>
        <w:t>Going forward</w:t>
      </w:r>
    </w:p>
    <w:p w14:paraId="269FDC18" w14:textId="77777777" w:rsidR="001312C3" w:rsidRDefault="001312C3" w:rsidP="001312C3">
      <w:pPr>
        <w:jc w:val="both"/>
      </w:pPr>
      <w:r>
        <w:t xml:space="preserve">Urban Logistics is forward funding, along with a developer, three sites in the Midlands to turn them into six urban logistics warehouses. </w:t>
      </w:r>
    </w:p>
    <w:p w14:paraId="5DCB460E" w14:textId="77777777" w:rsidR="001312C3" w:rsidRDefault="001312C3" w:rsidP="001312C3">
      <w:pPr>
        <w:jc w:val="both"/>
      </w:pPr>
    </w:p>
    <w:p w14:paraId="5A4B6FE9" w14:textId="77777777" w:rsidR="001312C3" w:rsidRDefault="001312C3" w:rsidP="001312C3">
      <w:pPr>
        <w:jc w:val="both"/>
      </w:pPr>
      <w:r w:rsidRPr="004C6B12">
        <w:rPr>
          <w:color w:val="808080" w:themeColor="background1" w:themeShade="80"/>
        </w:rPr>
        <w:t>“</w:t>
      </w:r>
      <w:r w:rsidRPr="004C6B12">
        <w:rPr>
          <w:i/>
          <w:iCs/>
          <w:color w:val="808080" w:themeColor="background1" w:themeShade="80"/>
        </w:rPr>
        <w:t>The Company has received strong interest from prospective tenants and expects that both sites will be fully pre-let by the time of practical completion […] The intention is for the sites to be built and let the second quarter of 2020. They are both well-located and near key arterial routes.</w:t>
      </w:r>
      <w:r w:rsidRPr="004C6B12">
        <w:rPr>
          <w:color w:val="808080" w:themeColor="background1" w:themeShade="80"/>
        </w:rPr>
        <w:t>”</w:t>
      </w:r>
      <w:r>
        <w:t xml:space="preserve"> 2019 Annual Report and Interim report September 2019</w:t>
      </w:r>
    </w:p>
    <w:p w14:paraId="1B111BE8" w14:textId="77777777" w:rsidR="001312C3" w:rsidRDefault="001312C3" w:rsidP="001312C3">
      <w:pPr>
        <w:jc w:val="both"/>
      </w:pPr>
    </w:p>
    <w:p w14:paraId="7A685A16" w14:textId="77777777" w:rsidR="001312C3" w:rsidRDefault="001312C3" w:rsidP="001312C3">
      <w:pPr>
        <w:jc w:val="both"/>
      </w:pPr>
      <w:r>
        <w:t>Urban Logistics has recently acquired eight new properties which present opportunities to add value by efficiently managing the assets:</w:t>
      </w:r>
    </w:p>
    <w:p w14:paraId="1054F0C9" w14:textId="77777777" w:rsidR="001312C3" w:rsidRDefault="001312C3" w:rsidP="001312C3">
      <w:pPr>
        <w:jc w:val="both"/>
      </w:pPr>
    </w:p>
    <w:p w14:paraId="25A60CFD" w14:textId="77777777" w:rsidR="001312C3" w:rsidRDefault="001312C3" w:rsidP="001312C3">
      <w:pPr>
        <w:jc w:val="both"/>
      </w:pPr>
      <w:proofErr w:type="spellStart"/>
      <w:r w:rsidRPr="00D16E9C">
        <w:t>Tuffnells</w:t>
      </w:r>
      <w:proofErr w:type="spellEnd"/>
      <w:r w:rsidRPr="00D16E9C">
        <w:t xml:space="preserve"> portfolio</w:t>
      </w:r>
    </w:p>
    <w:p w14:paraId="6E4D01B3" w14:textId="77777777" w:rsidR="001312C3" w:rsidRDefault="001312C3" w:rsidP="001312C3">
      <w:pPr>
        <w:jc w:val="both"/>
      </w:pPr>
      <w:r w:rsidRPr="004C6B12">
        <w:rPr>
          <w:i/>
          <w:iCs/>
          <w:color w:val="808080" w:themeColor="background1" w:themeShade="80"/>
        </w:rPr>
        <w:t xml:space="preserve">“On 27 September 2019, a portfolio of parcel depots was acquired for £9.9 million. The acquisition was sourced at a net initial yield of 7.0%. The properties are close to established regional transport hubs in last-mile locations. These well specified parcel delivery hubs are leased to </w:t>
      </w:r>
      <w:proofErr w:type="spellStart"/>
      <w:r w:rsidRPr="004C6B12">
        <w:rPr>
          <w:i/>
          <w:iCs/>
          <w:color w:val="808080" w:themeColor="background1" w:themeShade="80"/>
        </w:rPr>
        <w:t>Tuffnells</w:t>
      </w:r>
      <w:proofErr w:type="spellEnd"/>
      <w:r w:rsidRPr="004C6B12">
        <w:rPr>
          <w:i/>
          <w:iCs/>
          <w:color w:val="808080" w:themeColor="background1" w:themeShade="80"/>
        </w:rPr>
        <w:t xml:space="preserve"> Parcel Express Limited, a business-to-business distributor specialising in irregular dimensions and weights, on fully repairing and insuring leases.”</w:t>
      </w:r>
      <w:r w:rsidRPr="004C6B12">
        <w:rPr>
          <w:color w:val="808080" w:themeColor="background1" w:themeShade="80"/>
        </w:rPr>
        <w:t xml:space="preserve"> </w:t>
      </w:r>
      <w:r>
        <w:t xml:space="preserve"> Interim report September 2019</w:t>
      </w:r>
    </w:p>
    <w:p w14:paraId="1B472E49" w14:textId="77777777" w:rsidR="001312C3" w:rsidRDefault="001312C3" w:rsidP="001312C3">
      <w:pPr>
        <w:jc w:val="both"/>
      </w:pPr>
    </w:p>
    <w:p w14:paraId="14C75C8C" w14:textId="77777777" w:rsidR="001312C3" w:rsidRDefault="001312C3" w:rsidP="001312C3">
      <w:pPr>
        <w:jc w:val="both"/>
      </w:pPr>
      <w:r>
        <w:t>Thatcham and Sittingbourne</w:t>
      </w:r>
    </w:p>
    <w:p w14:paraId="3F3618E9" w14:textId="77777777" w:rsidR="001312C3" w:rsidRDefault="001312C3" w:rsidP="001312C3">
      <w:pPr>
        <w:jc w:val="both"/>
      </w:pPr>
      <w:r w:rsidRPr="004C6B12">
        <w:rPr>
          <w:color w:val="808080" w:themeColor="background1" w:themeShade="80"/>
        </w:rPr>
        <w:t>“</w:t>
      </w:r>
      <w:r w:rsidRPr="004C6B12">
        <w:rPr>
          <w:i/>
          <w:iCs/>
          <w:color w:val="808080" w:themeColor="background1" w:themeShade="80"/>
        </w:rPr>
        <w:t>The Group acquired two logistics properties in Sittingbourne and Thatcham for a combined consideration of 5.3 million at a 5.9% blended net initial yield. The acquisitions further extend our portfolio’s weighting across the South East of England where there is a chronic shortage of logistics properties in our size range. Both properties are let to DHL’s UK Mail business.”</w:t>
      </w:r>
      <w:r w:rsidRPr="004C6B12">
        <w:rPr>
          <w:color w:val="808080" w:themeColor="background1" w:themeShade="80"/>
        </w:rPr>
        <w:t xml:space="preserve"> </w:t>
      </w:r>
      <w:r>
        <w:t>Interim report September 2019</w:t>
      </w:r>
    </w:p>
    <w:p w14:paraId="19668960" w14:textId="77777777" w:rsidR="001312C3" w:rsidRDefault="001312C3" w:rsidP="001312C3">
      <w:pPr>
        <w:jc w:val="both"/>
      </w:pPr>
    </w:p>
    <w:p w14:paraId="0DB0DC7A" w14:textId="77777777" w:rsidR="001312C3" w:rsidRDefault="001312C3" w:rsidP="001312C3">
      <w:pPr>
        <w:jc w:val="both"/>
      </w:pPr>
      <w:r>
        <w:lastRenderedPageBreak/>
        <w:t>Pipeline</w:t>
      </w:r>
    </w:p>
    <w:p w14:paraId="5506FB6D" w14:textId="77777777" w:rsidR="001312C3" w:rsidRDefault="001312C3" w:rsidP="001312C3">
      <w:pPr>
        <w:jc w:val="both"/>
      </w:pPr>
      <w:r w:rsidRPr="004C6B12">
        <w:rPr>
          <w:i/>
          <w:iCs/>
          <w:color w:val="808080" w:themeColor="background1" w:themeShade="80"/>
        </w:rPr>
        <w:t>“We seek to identify markets with high performance characteristics. For example, the East of England has just 3 months of supply in the 100-200,000 sq. ft. range. We note that 70% of 2018 take up was within this size range and we have a number of assets in our pipeline located in this region. Through our track record and experience, we are well-placed to continue sourcing attractive new opportunities and have a strong pipeline of similar product to our current portfolio.”</w:t>
      </w:r>
      <w:r>
        <w:t xml:space="preserve"> Interim report September 2019</w:t>
      </w:r>
    </w:p>
    <w:p w14:paraId="07E86CE7" w14:textId="77777777" w:rsidR="001312C3" w:rsidRDefault="001312C3" w:rsidP="001312C3">
      <w:pPr>
        <w:jc w:val="both"/>
      </w:pPr>
    </w:p>
    <w:p w14:paraId="7AA68765" w14:textId="77777777" w:rsidR="001312C3" w:rsidRDefault="001312C3" w:rsidP="001312C3">
      <w:pPr>
        <w:jc w:val="both"/>
      </w:pPr>
      <w:r>
        <w:t>Therefore, Urban Logistics appears well positioned to exploit the lack of supply in the industrial warehousing market as well as continue to manage assets to add value to shareholders.</w:t>
      </w:r>
    </w:p>
    <w:p w14:paraId="61A537B5" w14:textId="77777777" w:rsidR="001312C3" w:rsidRDefault="001312C3" w:rsidP="001312C3">
      <w:pPr>
        <w:pStyle w:val="Heading2"/>
        <w:jc w:val="both"/>
      </w:pPr>
    </w:p>
    <w:p w14:paraId="1A570B13" w14:textId="77777777" w:rsidR="001312C3" w:rsidRDefault="001312C3" w:rsidP="001312C3">
      <w:pPr>
        <w:pStyle w:val="Heading2"/>
        <w:jc w:val="both"/>
      </w:pPr>
    </w:p>
    <w:p w14:paraId="18509618" w14:textId="77777777" w:rsidR="001312C3" w:rsidRDefault="001312C3" w:rsidP="001312C3">
      <w:pPr>
        <w:pStyle w:val="Heading2"/>
        <w:jc w:val="both"/>
      </w:pPr>
      <w:r>
        <w:t>Management</w:t>
      </w:r>
    </w:p>
    <w:p w14:paraId="669AE76A" w14:textId="77777777" w:rsidR="001312C3" w:rsidRPr="001312C3" w:rsidRDefault="001312C3" w:rsidP="001312C3">
      <w:pPr>
        <w:rPr>
          <w:lang w:eastAsia="zh-CN"/>
        </w:rPr>
      </w:pPr>
    </w:p>
    <w:p w14:paraId="5FACBF66" w14:textId="77777777" w:rsidR="001312C3" w:rsidRPr="007A4939" w:rsidRDefault="001312C3" w:rsidP="001312C3">
      <w:pPr>
        <w:jc w:val="both"/>
        <w:rPr>
          <w:rFonts w:ascii="Financier Display Semibold" w:hAnsi="Financier Display Semibold"/>
          <w:b/>
          <w:bCs/>
          <w:i/>
          <w:iCs/>
        </w:rPr>
      </w:pPr>
      <w:r w:rsidRPr="00202A28">
        <w:rPr>
          <w:rFonts w:ascii="Financier Display Semibold" w:hAnsi="Financier Display Semibold"/>
          <w:b/>
          <w:bCs/>
          <w:i/>
          <w:iCs/>
        </w:rPr>
        <w:t>Governance Structure</w:t>
      </w:r>
    </w:p>
    <w:p w14:paraId="0137897F" w14:textId="77777777" w:rsidR="001312C3" w:rsidRPr="00202A28" w:rsidRDefault="001312C3" w:rsidP="001312C3">
      <w:pPr>
        <w:jc w:val="both"/>
        <w:rPr>
          <w:color w:val="808080" w:themeColor="background1" w:themeShade="80"/>
        </w:rPr>
      </w:pPr>
      <w:r w:rsidRPr="004C6B12">
        <w:rPr>
          <w:color w:val="808080" w:themeColor="background1" w:themeShade="80"/>
        </w:rPr>
        <w:t>“The Board is responsible for determining strategy, investment policy and overseeing the Company’s performance and business conduct. The Board is also responsible for supervising our Manager, Pacific Capital Partners Limited.</w:t>
      </w:r>
      <w:r>
        <w:rPr>
          <w:color w:val="808080" w:themeColor="background1" w:themeShade="80"/>
        </w:rPr>
        <w:t xml:space="preserve"> […] </w:t>
      </w:r>
      <w:r w:rsidRPr="004C6B12">
        <w:rPr>
          <w:color w:val="808080" w:themeColor="background1" w:themeShade="80"/>
        </w:rPr>
        <w:t>The Board has delegated day-to-day responsibility for running the</w:t>
      </w:r>
      <w:r>
        <w:rPr>
          <w:color w:val="808080" w:themeColor="background1" w:themeShade="80"/>
        </w:rPr>
        <w:t xml:space="preserve"> </w:t>
      </w:r>
      <w:r w:rsidRPr="004C6B12">
        <w:rPr>
          <w:color w:val="808080" w:themeColor="background1" w:themeShade="80"/>
        </w:rPr>
        <w:t>Company to the Manager who deals with all the property transactions including ongoing asset management. A report is received from the Manager at each Board meeting.</w:t>
      </w:r>
      <w:r>
        <w:rPr>
          <w:color w:val="808080" w:themeColor="background1" w:themeShade="80"/>
        </w:rPr>
        <w:t xml:space="preserve"> </w:t>
      </w:r>
      <w:r w:rsidRPr="004C6B12">
        <w:rPr>
          <w:color w:val="808080" w:themeColor="background1" w:themeShade="80"/>
        </w:rPr>
        <w:t>The Management Engagement Committee formally reviews the Manager’s performance each year, to allow the Board to state, if appropriate, that the Manager’s continued appointment is in the shareholders’ interests.</w:t>
      </w:r>
      <w:r>
        <w:rPr>
          <w:color w:val="808080" w:themeColor="background1" w:themeShade="80"/>
        </w:rPr>
        <w:t xml:space="preserve"> […] </w:t>
      </w:r>
      <w:r w:rsidRPr="00202A28">
        <w:rPr>
          <w:color w:val="808080" w:themeColor="background1" w:themeShade="80"/>
        </w:rPr>
        <w:t>Under the Investment Management Agreement, the Board has delegated day-to-day responsibility for running the Company to the Manager who deal with all the property transactions. They are supported administratively by appropriate people from the Manager’s professional staff. Richard Moffitt and Christopher Turner are the principle members of the team and report to the Board at each meeting and other members of the management team attend as required.</w:t>
      </w:r>
      <w:r>
        <w:rPr>
          <w:color w:val="808080" w:themeColor="background1" w:themeShade="80"/>
        </w:rPr>
        <w:t xml:space="preserve"> </w:t>
      </w:r>
      <w:r w:rsidRPr="00202A28">
        <w:rPr>
          <w:color w:val="808080" w:themeColor="background1" w:themeShade="80"/>
        </w:rPr>
        <w:t>The Manager regularly uses for its purchase and sales of assets, M1 Agency LLP, a limited liability partnership in which Richard Moffitt has an interest. The fees for each transaction are reviewed by the Board and Manager excluding Richard Moffitt to ensure that the fees payable are in line with market fees and practice. The total fees paid in the year amounted to</w:t>
      </w:r>
      <w:r>
        <w:rPr>
          <w:color w:val="808080" w:themeColor="background1" w:themeShade="80"/>
        </w:rPr>
        <w:t xml:space="preserve"> </w:t>
      </w:r>
      <w:r w:rsidRPr="00202A28">
        <w:rPr>
          <w:color w:val="808080" w:themeColor="background1" w:themeShade="80"/>
        </w:rPr>
        <w:t>£1.1 million.</w:t>
      </w:r>
      <w:r>
        <w:rPr>
          <w:color w:val="808080" w:themeColor="background1" w:themeShade="80"/>
        </w:rPr>
        <w:t xml:space="preserve"> </w:t>
      </w:r>
      <w:r w:rsidRPr="00202A28">
        <w:rPr>
          <w:color w:val="808080" w:themeColor="background1" w:themeShade="80"/>
        </w:rPr>
        <w:t>The Board formally reviews the Manager’s performance each year, to allow the Board to state, if appropriate, that the Manager’s continued appointment is in shareholders’ interests. The Investment Management Agreement was extended in July 2018 so that it now runs through to April 2024. This ensures continuity of the relationship with the Manager.</w:t>
      </w:r>
    </w:p>
    <w:p w14:paraId="4AA26DA8" w14:textId="77777777" w:rsidR="001312C3" w:rsidRPr="007A4939" w:rsidRDefault="001312C3" w:rsidP="001312C3">
      <w:pPr>
        <w:jc w:val="both"/>
        <w:rPr>
          <w:color w:val="808080" w:themeColor="background1" w:themeShade="80"/>
        </w:rPr>
      </w:pPr>
      <w:r w:rsidRPr="00202A28">
        <w:rPr>
          <w:color w:val="808080" w:themeColor="background1" w:themeShade="80"/>
        </w:rPr>
        <w:t>All other key terms of the agreement remain unchanged.</w:t>
      </w:r>
      <w:r w:rsidRPr="004C6B12">
        <w:rPr>
          <w:color w:val="808080" w:themeColor="background1" w:themeShade="80"/>
        </w:rPr>
        <w:t>”</w:t>
      </w:r>
      <w:r>
        <w:t xml:space="preserve"> 2019 Annual Report</w:t>
      </w:r>
    </w:p>
    <w:p w14:paraId="5455996D" w14:textId="77777777" w:rsidR="001312C3" w:rsidRDefault="001312C3" w:rsidP="001312C3">
      <w:pPr>
        <w:jc w:val="both"/>
        <w:rPr>
          <w:rFonts w:ascii="Financier Display Semibold" w:hAnsi="Financier Display Semibold"/>
          <w:b/>
          <w:bCs/>
          <w:i/>
          <w:iCs/>
        </w:rPr>
      </w:pPr>
    </w:p>
    <w:p w14:paraId="72EBD644" w14:textId="77777777" w:rsidR="001312C3" w:rsidRDefault="001312C3" w:rsidP="001312C3">
      <w:pPr>
        <w:jc w:val="both"/>
        <w:rPr>
          <w:rFonts w:ascii="Financier Display Semibold" w:hAnsi="Financier Display Semibold"/>
          <w:b/>
          <w:bCs/>
          <w:i/>
          <w:iCs/>
        </w:rPr>
      </w:pPr>
    </w:p>
    <w:p w14:paraId="5C87EF94" w14:textId="77777777" w:rsidR="001312C3" w:rsidRDefault="001312C3" w:rsidP="001312C3">
      <w:pPr>
        <w:jc w:val="both"/>
        <w:rPr>
          <w:rFonts w:ascii="Financier Display Semibold" w:hAnsi="Financier Display Semibold"/>
          <w:b/>
          <w:bCs/>
          <w:i/>
          <w:iCs/>
        </w:rPr>
      </w:pPr>
    </w:p>
    <w:p w14:paraId="65FEEACA" w14:textId="77777777" w:rsidR="001312C3" w:rsidRDefault="001312C3" w:rsidP="001312C3">
      <w:pPr>
        <w:jc w:val="both"/>
        <w:rPr>
          <w:rFonts w:ascii="Financier Display Semibold" w:hAnsi="Financier Display Semibold"/>
          <w:b/>
          <w:bCs/>
          <w:i/>
          <w:iCs/>
        </w:rPr>
      </w:pPr>
    </w:p>
    <w:p w14:paraId="7F82220B" w14:textId="77777777" w:rsidR="001312C3" w:rsidRDefault="001312C3" w:rsidP="001312C3">
      <w:pPr>
        <w:jc w:val="both"/>
        <w:rPr>
          <w:rFonts w:ascii="Financier Display Semibold" w:hAnsi="Financier Display Semibold"/>
          <w:b/>
          <w:bCs/>
          <w:i/>
          <w:iCs/>
        </w:rPr>
      </w:pPr>
    </w:p>
    <w:p w14:paraId="3E60F7F5" w14:textId="77777777" w:rsidR="001312C3" w:rsidRDefault="001312C3" w:rsidP="001312C3">
      <w:pPr>
        <w:jc w:val="both"/>
        <w:rPr>
          <w:rFonts w:ascii="Financier Display Semibold" w:hAnsi="Financier Display Semibold"/>
          <w:b/>
          <w:bCs/>
          <w:i/>
          <w:iCs/>
        </w:rPr>
      </w:pPr>
    </w:p>
    <w:p w14:paraId="29154480" w14:textId="77777777" w:rsidR="001312C3" w:rsidRDefault="001312C3" w:rsidP="001312C3">
      <w:pPr>
        <w:jc w:val="both"/>
        <w:rPr>
          <w:rFonts w:ascii="Financier Display Semibold" w:hAnsi="Financier Display Semibold"/>
          <w:b/>
          <w:bCs/>
          <w:i/>
          <w:iCs/>
        </w:rPr>
      </w:pPr>
    </w:p>
    <w:p w14:paraId="2FF1BBD1" w14:textId="77777777" w:rsidR="001312C3" w:rsidRDefault="001312C3" w:rsidP="001312C3">
      <w:pPr>
        <w:jc w:val="both"/>
        <w:rPr>
          <w:rFonts w:ascii="Financier Display Semibold" w:hAnsi="Financier Display Semibold"/>
          <w:b/>
          <w:bCs/>
          <w:i/>
          <w:iCs/>
        </w:rPr>
      </w:pPr>
    </w:p>
    <w:p w14:paraId="67BF082E" w14:textId="77777777" w:rsidR="001312C3" w:rsidRDefault="001312C3" w:rsidP="001312C3">
      <w:pPr>
        <w:jc w:val="both"/>
        <w:rPr>
          <w:rFonts w:ascii="Financier Display Semibold" w:hAnsi="Financier Display Semibold"/>
          <w:b/>
          <w:bCs/>
          <w:i/>
          <w:iCs/>
        </w:rPr>
      </w:pPr>
    </w:p>
    <w:p w14:paraId="26A9C2F3" w14:textId="77777777" w:rsidR="001312C3" w:rsidRDefault="001312C3" w:rsidP="001312C3">
      <w:pPr>
        <w:jc w:val="both"/>
        <w:rPr>
          <w:rFonts w:ascii="Financier Display Semibold" w:hAnsi="Financier Display Semibold"/>
          <w:b/>
          <w:bCs/>
          <w:i/>
          <w:iCs/>
        </w:rPr>
      </w:pPr>
    </w:p>
    <w:p w14:paraId="59A8AFE1" w14:textId="77777777" w:rsidR="001312C3" w:rsidRDefault="001312C3" w:rsidP="001312C3">
      <w:pPr>
        <w:jc w:val="both"/>
        <w:rPr>
          <w:rFonts w:ascii="Financier Display Semibold" w:hAnsi="Financier Display Semibold"/>
          <w:b/>
          <w:bCs/>
          <w:i/>
          <w:iCs/>
        </w:rPr>
      </w:pPr>
    </w:p>
    <w:p w14:paraId="37702F25" w14:textId="77777777" w:rsidR="001312C3" w:rsidRPr="007A4939" w:rsidRDefault="001312C3" w:rsidP="001312C3">
      <w:pPr>
        <w:jc w:val="both"/>
        <w:rPr>
          <w:rFonts w:ascii="Financier Display Semibold" w:hAnsi="Financier Display Semibold"/>
          <w:b/>
          <w:bCs/>
          <w:i/>
          <w:iCs/>
        </w:rPr>
      </w:pPr>
      <w:r w:rsidRPr="00622346">
        <w:rPr>
          <w:rFonts w:ascii="Financier Display Semibold" w:hAnsi="Financier Display Semibold"/>
          <w:b/>
          <w:bCs/>
          <w:i/>
          <w:iCs/>
        </w:rPr>
        <w:t>The Board</w:t>
      </w:r>
    </w:p>
    <w:tbl>
      <w:tblPr>
        <w:tblStyle w:val="TableGrid"/>
        <w:tblW w:w="9493" w:type="dxa"/>
        <w:tblLook w:val="04A0" w:firstRow="1" w:lastRow="0" w:firstColumn="1" w:lastColumn="0" w:noHBand="0" w:noVBand="1"/>
      </w:tblPr>
      <w:tblGrid>
        <w:gridCol w:w="1274"/>
        <w:gridCol w:w="1550"/>
        <w:gridCol w:w="5305"/>
        <w:gridCol w:w="1364"/>
      </w:tblGrid>
      <w:tr w:rsidR="001312C3" w14:paraId="5BF55BD4" w14:textId="77777777" w:rsidTr="000167D1">
        <w:trPr>
          <w:trHeight w:val="418"/>
        </w:trPr>
        <w:tc>
          <w:tcPr>
            <w:tcW w:w="1276" w:type="dxa"/>
            <w:tcBorders>
              <w:top w:val="single" w:sz="4" w:space="0" w:color="000000"/>
              <w:left w:val="nil"/>
              <w:bottom w:val="single" w:sz="4" w:space="0" w:color="000000"/>
              <w:right w:val="nil"/>
            </w:tcBorders>
            <w:vAlign w:val="center"/>
          </w:tcPr>
          <w:p w14:paraId="65CD6133" w14:textId="77777777" w:rsidR="001312C3" w:rsidRPr="00202A28" w:rsidRDefault="001312C3" w:rsidP="000167D1">
            <w:pPr>
              <w:jc w:val="both"/>
              <w:rPr>
                <w:rFonts w:ascii="Financier Display Semibold" w:hAnsi="Financier Display Semibold"/>
                <w:b/>
                <w:bCs/>
              </w:rPr>
            </w:pPr>
            <w:r w:rsidRPr="00202A28">
              <w:rPr>
                <w:rFonts w:ascii="Financier Display Semibold" w:hAnsi="Financier Display Semibold"/>
                <w:b/>
                <w:bCs/>
              </w:rPr>
              <w:lastRenderedPageBreak/>
              <w:t>Board Member</w:t>
            </w:r>
          </w:p>
        </w:tc>
        <w:tc>
          <w:tcPr>
            <w:tcW w:w="1559" w:type="dxa"/>
            <w:tcBorders>
              <w:top w:val="single" w:sz="4" w:space="0" w:color="000000"/>
              <w:left w:val="nil"/>
              <w:bottom w:val="single" w:sz="4" w:space="0" w:color="000000"/>
              <w:right w:val="nil"/>
            </w:tcBorders>
            <w:vAlign w:val="center"/>
          </w:tcPr>
          <w:p w14:paraId="1316DBAA" w14:textId="77777777" w:rsidR="001312C3" w:rsidRPr="00202A28" w:rsidRDefault="001312C3" w:rsidP="000167D1">
            <w:pPr>
              <w:jc w:val="both"/>
              <w:rPr>
                <w:rFonts w:ascii="Financier Display Semibold" w:hAnsi="Financier Display Semibold"/>
                <w:b/>
                <w:bCs/>
              </w:rPr>
            </w:pPr>
            <w:r w:rsidRPr="00202A28">
              <w:rPr>
                <w:rFonts w:ascii="Financier Display Semibold" w:hAnsi="Financier Display Semibold"/>
                <w:b/>
                <w:bCs/>
              </w:rPr>
              <w:t>Role</w:t>
            </w:r>
          </w:p>
        </w:tc>
        <w:tc>
          <w:tcPr>
            <w:tcW w:w="5358" w:type="dxa"/>
            <w:tcBorders>
              <w:top w:val="single" w:sz="4" w:space="0" w:color="000000"/>
              <w:left w:val="nil"/>
              <w:bottom w:val="single" w:sz="4" w:space="0" w:color="000000"/>
              <w:right w:val="nil"/>
            </w:tcBorders>
            <w:vAlign w:val="center"/>
          </w:tcPr>
          <w:p w14:paraId="6EF5BF14" w14:textId="77777777" w:rsidR="001312C3" w:rsidRPr="00202A28" w:rsidRDefault="001312C3" w:rsidP="000167D1">
            <w:pPr>
              <w:jc w:val="both"/>
              <w:rPr>
                <w:rFonts w:ascii="Financier Display Semibold" w:hAnsi="Financier Display Semibold"/>
                <w:b/>
                <w:bCs/>
              </w:rPr>
            </w:pPr>
            <w:r w:rsidRPr="00202A28">
              <w:rPr>
                <w:rFonts w:ascii="Financier Display Semibold" w:hAnsi="Financier Display Semibold"/>
                <w:b/>
                <w:bCs/>
              </w:rPr>
              <w:t>Experience</w:t>
            </w:r>
          </w:p>
        </w:tc>
        <w:tc>
          <w:tcPr>
            <w:tcW w:w="1300" w:type="dxa"/>
            <w:tcBorders>
              <w:top w:val="single" w:sz="4" w:space="0" w:color="000000"/>
              <w:left w:val="nil"/>
              <w:bottom w:val="single" w:sz="4" w:space="0" w:color="000000"/>
              <w:right w:val="nil"/>
            </w:tcBorders>
            <w:vAlign w:val="center"/>
          </w:tcPr>
          <w:p w14:paraId="64B0568D" w14:textId="77777777" w:rsidR="001312C3" w:rsidRPr="00202A28" w:rsidRDefault="001312C3" w:rsidP="000167D1">
            <w:pPr>
              <w:jc w:val="both"/>
              <w:rPr>
                <w:rFonts w:ascii="Financier Display Semibold" w:hAnsi="Financier Display Semibold"/>
                <w:b/>
                <w:bCs/>
              </w:rPr>
            </w:pPr>
            <w:r w:rsidRPr="00202A28">
              <w:rPr>
                <w:rFonts w:ascii="Financier Display Semibold" w:hAnsi="Financier Display Semibold"/>
                <w:b/>
                <w:bCs/>
              </w:rPr>
              <w:t>Education</w:t>
            </w:r>
          </w:p>
        </w:tc>
      </w:tr>
      <w:tr w:rsidR="001312C3" w14:paraId="3CB40F68" w14:textId="77777777" w:rsidTr="000167D1">
        <w:trPr>
          <w:trHeight w:val="868"/>
        </w:trPr>
        <w:tc>
          <w:tcPr>
            <w:tcW w:w="1276" w:type="dxa"/>
            <w:tcBorders>
              <w:top w:val="single" w:sz="4" w:space="0" w:color="000000"/>
              <w:left w:val="nil"/>
              <w:bottom w:val="nil"/>
              <w:right w:val="nil"/>
            </w:tcBorders>
            <w:vAlign w:val="center"/>
          </w:tcPr>
          <w:p w14:paraId="6ED0B079" w14:textId="77777777" w:rsidR="001312C3" w:rsidRPr="00202A28" w:rsidRDefault="001312C3" w:rsidP="000167D1">
            <w:pPr>
              <w:rPr>
                <w:i/>
                <w:iCs/>
                <w:sz w:val="22"/>
                <w:szCs w:val="22"/>
              </w:rPr>
            </w:pPr>
            <w:r w:rsidRPr="00202A28">
              <w:rPr>
                <w:i/>
                <w:iCs/>
                <w:sz w:val="22"/>
                <w:szCs w:val="22"/>
              </w:rPr>
              <w:t>Nigel Rich CBE</w:t>
            </w:r>
          </w:p>
        </w:tc>
        <w:tc>
          <w:tcPr>
            <w:tcW w:w="1559" w:type="dxa"/>
            <w:tcBorders>
              <w:top w:val="single" w:sz="4" w:space="0" w:color="000000"/>
              <w:left w:val="nil"/>
              <w:bottom w:val="nil"/>
              <w:right w:val="nil"/>
            </w:tcBorders>
            <w:vAlign w:val="center"/>
          </w:tcPr>
          <w:p w14:paraId="570F17B4" w14:textId="77777777" w:rsidR="001312C3" w:rsidRPr="00202A28" w:rsidRDefault="001312C3" w:rsidP="000167D1">
            <w:pPr>
              <w:jc w:val="both"/>
              <w:rPr>
                <w:i/>
                <w:iCs/>
                <w:sz w:val="22"/>
                <w:szCs w:val="22"/>
              </w:rPr>
            </w:pPr>
            <w:r w:rsidRPr="00202A28">
              <w:rPr>
                <w:i/>
                <w:iCs/>
                <w:sz w:val="22"/>
                <w:szCs w:val="22"/>
              </w:rPr>
              <w:t>Non-executive Chairman</w:t>
            </w:r>
          </w:p>
        </w:tc>
        <w:tc>
          <w:tcPr>
            <w:tcW w:w="5358" w:type="dxa"/>
            <w:tcBorders>
              <w:top w:val="single" w:sz="4" w:space="0" w:color="000000"/>
              <w:left w:val="nil"/>
              <w:bottom w:val="nil"/>
              <w:right w:val="nil"/>
            </w:tcBorders>
            <w:vAlign w:val="center"/>
          </w:tcPr>
          <w:p w14:paraId="790D3711" w14:textId="77777777" w:rsidR="001312C3" w:rsidRPr="00202A28" w:rsidRDefault="001312C3" w:rsidP="001312C3">
            <w:pPr>
              <w:pStyle w:val="ListParagraph"/>
              <w:numPr>
                <w:ilvl w:val="0"/>
                <w:numId w:val="5"/>
              </w:numPr>
              <w:jc w:val="both"/>
              <w:rPr>
                <w:i/>
                <w:iCs/>
                <w:sz w:val="22"/>
                <w:szCs w:val="22"/>
              </w:rPr>
            </w:pPr>
            <w:r w:rsidRPr="00202A28">
              <w:rPr>
                <w:i/>
                <w:iCs/>
                <w:sz w:val="22"/>
                <w:szCs w:val="22"/>
              </w:rPr>
              <w:t>Group Chief Executive of Trafalgar House plc from 1994 to 1996.</w:t>
            </w:r>
          </w:p>
          <w:p w14:paraId="0B068FD9" w14:textId="77777777" w:rsidR="001312C3" w:rsidRPr="00202A28" w:rsidRDefault="001312C3" w:rsidP="001312C3">
            <w:pPr>
              <w:pStyle w:val="ListParagraph"/>
              <w:numPr>
                <w:ilvl w:val="0"/>
                <w:numId w:val="5"/>
              </w:numPr>
              <w:jc w:val="both"/>
              <w:rPr>
                <w:sz w:val="22"/>
                <w:szCs w:val="22"/>
              </w:rPr>
            </w:pPr>
            <w:r w:rsidRPr="00202A28">
              <w:rPr>
                <w:i/>
                <w:iCs/>
                <w:sz w:val="22"/>
                <w:szCs w:val="22"/>
              </w:rPr>
              <w:t>20 years at the Jardine Matheson Group in Asia</w:t>
            </w:r>
            <w:r w:rsidRPr="00202A28">
              <w:rPr>
                <w:sz w:val="22"/>
                <w:szCs w:val="22"/>
              </w:rPr>
              <w:t xml:space="preserve"> </w:t>
            </w:r>
          </w:p>
          <w:p w14:paraId="15C9374D" w14:textId="77777777" w:rsidR="001312C3" w:rsidRPr="00202A28" w:rsidRDefault="001312C3" w:rsidP="001312C3">
            <w:pPr>
              <w:pStyle w:val="ListParagraph"/>
              <w:numPr>
                <w:ilvl w:val="0"/>
                <w:numId w:val="5"/>
              </w:numPr>
              <w:jc w:val="both"/>
              <w:rPr>
                <w:i/>
                <w:iCs/>
                <w:sz w:val="22"/>
                <w:szCs w:val="22"/>
              </w:rPr>
            </w:pPr>
            <w:r w:rsidRPr="00202A28">
              <w:rPr>
                <w:i/>
                <w:iCs/>
                <w:sz w:val="22"/>
                <w:szCs w:val="22"/>
              </w:rPr>
              <w:t>Chairman of the Board of Segro plc, from October 2006 until April 2016</w:t>
            </w:r>
          </w:p>
        </w:tc>
        <w:tc>
          <w:tcPr>
            <w:tcW w:w="1300" w:type="dxa"/>
            <w:tcBorders>
              <w:top w:val="single" w:sz="4" w:space="0" w:color="000000"/>
              <w:left w:val="nil"/>
              <w:bottom w:val="nil"/>
              <w:right w:val="nil"/>
            </w:tcBorders>
            <w:vAlign w:val="center"/>
          </w:tcPr>
          <w:p w14:paraId="635B32AD" w14:textId="77777777" w:rsidR="001312C3" w:rsidRPr="00BE50A3" w:rsidRDefault="001312C3" w:rsidP="000167D1">
            <w:pPr>
              <w:jc w:val="center"/>
              <w:rPr>
                <w:sz w:val="22"/>
                <w:szCs w:val="22"/>
              </w:rPr>
            </w:pPr>
            <w:r>
              <w:rPr>
                <w:sz w:val="22"/>
                <w:szCs w:val="22"/>
              </w:rPr>
              <w:t>NA</w:t>
            </w:r>
          </w:p>
        </w:tc>
      </w:tr>
      <w:tr w:rsidR="001312C3" w14:paraId="701FEF53" w14:textId="77777777" w:rsidTr="000167D1">
        <w:trPr>
          <w:trHeight w:val="760"/>
        </w:trPr>
        <w:tc>
          <w:tcPr>
            <w:tcW w:w="1276" w:type="dxa"/>
            <w:tcBorders>
              <w:top w:val="nil"/>
              <w:left w:val="nil"/>
              <w:bottom w:val="nil"/>
              <w:right w:val="nil"/>
            </w:tcBorders>
            <w:vAlign w:val="center"/>
          </w:tcPr>
          <w:p w14:paraId="62BFEC95" w14:textId="77777777" w:rsidR="001312C3" w:rsidRPr="00202A28" w:rsidRDefault="001312C3" w:rsidP="000167D1">
            <w:pPr>
              <w:rPr>
                <w:i/>
                <w:iCs/>
                <w:sz w:val="22"/>
                <w:szCs w:val="22"/>
              </w:rPr>
            </w:pPr>
            <w:r w:rsidRPr="00202A28">
              <w:rPr>
                <w:i/>
                <w:iCs/>
                <w:sz w:val="22"/>
                <w:szCs w:val="22"/>
              </w:rPr>
              <w:t>Richard Moffitt</w:t>
            </w:r>
          </w:p>
        </w:tc>
        <w:tc>
          <w:tcPr>
            <w:tcW w:w="1559" w:type="dxa"/>
            <w:tcBorders>
              <w:top w:val="nil"/>
              <w:left w:val="nil"/>
              <w:bottom w:val="nil"/>
              <w:right w:val="nil"/>
            </w:tcBorders>
            <w:vAlign w:val="center"/>
          </w:tcPr>
          <w:p w14:paraId="77E40E3B" w14:textId="77777777" w:rsidR="001312C3" w:rsidRPr="00202A28" w:rsidRDefault="001312C3" w:rsidP="000167D1">
            <w:pPr>
              <w:jc w:val="both"/>
              <w:rPr>
                <w:i/>
                <w:iCs/>
                <w:sz w:val="22"/>
                <w:szCs w:val="22"/>
              </w:rPr>
            </w:pPr>
            <w:r>
              <w:rPr>
                <w:i/>
                <w:iCs/>
                <w:sz w:val="22"/>
                <w:szCs w:val="22"/>
              </w:rPr>
              <w:t>Director</w:t>
            </w:r>
          </w:p>
        </w:tc>
        <w:tc>
          <w:tcPr>
            <w:tcW w:w="5358" w:type="dxa"/>
            <w:tcBorders>
              <w:top w:val="nil"/>
              <w:left w:val="nil"/>
              <w:bottom w:val="nil"/>
              <w:right w:val="nil"/>
            </w:tcBorders>
            <w:vAlign w:val="center"/>
          </w:tcPr>
          <w:p w14:paraId="0302E22D" w14:textId="77777777" w:rsidR="001312C3" w:rsidRPr="00202A28" w:rsidRDefault="001312C3" w:rsidP="001312C3">
            <w:pPr>
              <w:pStyle w:val="ListParagraph"/>
              <w:numPr>
                <w:ilvl w:val="0"/>
                <w:numId w:val="5"/>
              </w:numPr>
              <w:jc w:val="both"/>
              <w:rPr>
                <w:i/>
                <w:iCs/>
                <w:sz w:val="22"/>
                <w:szCs w:val="22"/>
              </w:rPr>
            </w:pPr>
            <w:r w:rsidRPr="00202A28">
              <w:rPr>
                <w:i/>
                <w:iCs/>
                <w:sz w:val="22"/>
                <w:szCs w:val="22"/>
              </w:rPr>
              <w:t>Previously Head of Industrial and Logistics at CBRE. 25 years’ experience of the UK Industrial and Logistics markets</w:t>
            </w:r>
          </w:p>
        </w:tc>
        <w:tc>
          <w:tcPr>
            <w:tcW w:w="1300" w:type="dxa"/>
            <w:tcBorders>
              <w:top w:val="nil"/>
              <w:left w:val="nil"/>
              <w:bottom w:val="nil"/>
              <w:right w:val="nil"/>
            </w:tcBorders>
            <w:vAlign w:val="center"/>
          </w:tcPr>
          <w:p w14:paraId="20AB8BD3" w14:textId="77777777" w:rsidR="001312C3" w:rsidRPr="00202A28" w:rsidRDefault="001312C3" w:rsidP="000167D1">
            <w:pPr>
              <w:jc w:val="center"/>
              <w:rPr>
                <w:i/>
                <w:iCs/>
                <w:sz w:val="22"/>
                <w:szCs w:val="22"/>
              </w:rPr>
            </w:pPr>
            <w:r>
              <w:rPr>
                <w:sz w:val="22"/>
                <w:szCs w:val="22"/>
              </w:rPr>
              <w:t>NA</w:t>
            </w:r>
          </w:p>
        </w:tc>
      </w:tr>
      <w:tr w:rsidR="001312C3" w14:paraId="7B252B9D" w14:textId="77777777" w:rsidTr="000167D1">
        <w:trPr>
          <w:trHeight w:val="848"/>
        </w:trPr>
        <w:tc>
          <w:tcPr>
            <w:tcW w:w="1276" w:type="dxa"/>
            <w:tcBorders>
              <w:top w:val="nil"/>
              <w:left w:val="nil"/>
              <w:bottom w:val="nil"/>
              <w:right w:val="nil"/>
            </w:tcBorders>
            <w:vAlign w:val="center"/>
          </w:tcPr>
          <w:p w14:paraId="142D338C" w14:textId="77777777" w:rsidR="001312C3" w:rsidRPr="00202A28" w:rsidRDefault="001312C3" w:rsidP="000167D1">
            <w:pPr>
              <w:rPr>
                <w:i/>
                <w:iCs/>
                <w:sz w:val="22"/>
                <w:szCs w:val="22"/>
              </w:rPr>
            </w:pPr>
            <w:r w:rsidRPr="00202A28">
              <w:rPr>
                <w:i/>
                <w:iCs/>
                <w:sz w:val="22"/>
                <w:szCs w:val="22"/>
              </w:rPr>
              <w:t>Jonathan Gray</w:t>
            </w:r>
          </w:p>
        </w:tc>
        <w:tc>
          <w:tcPr>
            <w:tcW w:w="1559" w:type="dxa"/>
            <w:tcBorders>
              <w:top w:val="nil"/>
              <w:left w:val="nil"/>
              <w:bottom w:val="nil"/>
              <w:right w:val="nil"/>
            </w:tcBorders>
            <w:vAlign w:val="center"/>
          </w:tcPr>
          <w:p w14:paraId="251F4705" w14:textId="77777777" w:rsidR="001312C3" w:rsidRPr="00202A28" w:rsidRDefault="001312C3" w:rsidP="000167D1">
            <w:pPr>
              <w:jc w:val="both"/>
              <w:rPr>
                <w:i/>
                <w:iCs/>
                <w:sz w:val="22"/>
                <w:szCs w:val="22"/>
              </w:rPr>
            </w:pPr>
            <w:r w:rsidRPr="00202A28">
              <w:rPr>
                <w:i/>
                <w:iCs/>
                <w:sz w:val="22"/>
                <w:szCs w:val="22"/>
              </w:rPr>
              <w:t>Non-executive</w:t>
            </w:r>
            <w:r>
              <w:rPr>
                <w:i/>
                <w:iCs/>
                <w:sz w:val="22"/>
                <w:szCs w:val="22"/>
              </w:rPr>
              <w:t xml:space="preserve"> Director</w:t>
            </w:r>
          </w:p>
        </w:tc>
        <w:tc>
          <w:tcPr>
            <w:tcW w:w="5358" w:type="dxa"/>
            <w:tcBorders>
              <w:top w:val="nil"/>
              <w:left w:val="nil"/>
              <w:bottom w:val="nil"/>
              <w:right w:val="nil"/>
            </w:tcBorders>
            <w:vAlign w:val="center"/>
          </w:tcPr>
          <w:p w14:paraId="3BF45765" w14:textId="77777777" w:rsidR="001312C3" w:rsidRDefault="001312C3" w:rsidP="001312C3">
            <w:pPr>
              <w:pStyle w:val="ListParagraph"/>
              <w:numPr>
                <w:ilvl w:val="0"/>
                <w:numId w:val="5"/>
              </w:numPr>
              <w:jc w:val="both"/>
              <w:rPr>
                <w:i/>
                <w:iCs/>
                <w:sz w:val="22"/>
                <w:szCs w:val="22"/>
              </w:rPr>
            </w:pPr>
            <w:r>
              <w:rPr>
                <w:i/>
                <w:iCs/>
                <w:sz w:val="22"/>
                <w:szCs w:val="22"/>
              </w:rPr>
              <w:t>W</w:t>
            </w:r>
            <w:r w:rsidRPr="00202A28">
              <w:rPr>
                <w:i/>
                <w:iCs/>
                <w:sz w:val="22"/>
                <w:szCs w:val="22"/>
              </w:rPr>
              <w:t>orked in senior roles at HSBC, UBS and NCB</w:t>
            </w:r>
          </w:p>
          <w:p w14:paraId="27C98998" w14:textId="77777777" w:rsidR="001312C3" w:rsidRDefault="001312C3" w:rsidP="001312C3">
            <w:pPr>
              <w:pStyle w:val="ListParagraph"/>
              <w:numPr>
                <w:ilvl w:val="0"/>
                <w:numId w:val="5"/>
              </w:numPr>
              <w:jc w:val="both"/>
              <w:rPr>
                <w:i/>
                <w:iCs/>
                <w:sz w:val="22"/>
                <w:szCs w:val="22"/>
              </w:rPr>
            </w:pPr>
            <w:r w:rsidRPr="00202A28">
              <w:rPr>
                <w:i/>
                <w:iCs/>
                <w:sz w:val="22"/>
                <w:szCs w:val="22"/>
              </w:rPr>
              <w:t>Non-Executive Chairman of PGF II SA, a London based £200 million private property fund</w:t>
            </w:r>
          </w:p>
          <w:p w14:paraId="79B06621" w14:textId="77777777" w:rsidR="001312C3" w:rsidRPr="00202A28" w:rsidRDefault="001312C3" w:rsidP="001312C3">
            <w:pPr>
              <w:pStyle w:val="ListParagraph"/>
              <w:numPr>
                <w:ilvl w:val="0"/>
                <w:numId w:val="5"/>
              </w:numPr>
              <w:jc w:val="both"/>
              <w:rPr>
                <w:i/>
                <w:iCs/>
                <w:sz w:val="22"/>
                <w:szCs w:val="22"/>
              </w:rPr>
            </w:pPr>
            <w:r>
              <w:rPr>
                <w:i/>
                <w:iCs/>
                <w:sz w:val="22"/>
                <w:szCs w:val="22"/>
              </w:rPr>
              <w:t>C</w:t>
            </w:r>
            <w:r w:rsidRPr="00202A28">
              <w:rPr>
                <w:i/>
                <w:iCs/>
                <w:sz w:val="22"/>
                <w:szCs w:val="22"/>
              </w:rPr>
              <w:t>urrently works as a financial advisor/ consultant to a variety of international companies</w:t>
            </w:r>
          </w:p>
        </w:tc>
        <w:tc>
          <w:tcPr>
            <w:tcW w:w="1300" w:type="dxa"/>
            <w:tcBorders>
              <w:top w:val="nil"/>
              <w:left w:val="nil"/>
              <w:bottom w:val="nil"/>
              <w:right w:val="nil"/>
            </w:tcBorders>
            <w:vAlign w:val="center"/>
          </w:tcPr>
          <w:p w14:paraId="7F4AFEFD" w14:textId="77777777" w:rsidR="001312C3" w:rsidRPr="00202A28" w:rsidRDefault="001312C3" w:rsidP="000167D1">
            <w:pPr>
              <w:jc w:val="center"/>
              <w:rPr>
                <w:i/>
                <w:iCs/>
                <w:sz w:val="22"/>
                <w:szCs w:val="22"/>
              </w:rPr>
            </w:pPr>
            <w:r>
              <w:rPr>
                <w:sz w:val="22"/>
                <w:szCs w:val="22"/>
              </w:rPr>
              <w:t>NA</w:t>
            </w:r>
          </w:p>
        </w:tc>
      </w:tr>
      <w:tr w:rsidR="001312C3" w14:paraId="7ACA3BF4" w14:textId="77777777" w:rsidTr="000167D1">
        <w:trPr>
          <w:trHeight w:val="999"/>
        </w:trPr>
        <w:tc>
          <w:tcPr>
            <w:tcW w:w="1276" w:type="dxa"/>
            <w:tcBorders>
              <w:top w:val="nil"/>
              <w:left w:val="nil"/>
              <w:bottom w:val="nil"/>
              <w:right w:val="nil"/>
            </w:tcBorders>
            <w:vAlign w:val="center"/>
          </w:tcPr>
          <w:p w14:paraId="5C07220A" w14:textId="77777777" w:rsidR="001312C3" w:rsidRPr="00202A28" w:rsidRDefault="001312C3" w:rsidP="000167D1">
            <w:pPr>
              <w:rPr>
                <w:i/>
                <w:iCs/>
                <w:sz w:val="22"/>
                <w:szCs w:val="22"/>
              </w:rPr>
            </w:pPr>
            <w:r w:rsidRPr="00202A28">
              <w:rPr>
                <w:i/>
                <w:iCs/>
                <w:sz w:val="22"/>
                <w:szCs w:val="22"/>
              </w:rPr>
              <w:t>Bruce Anderson</w:t>
            </w:r>
          </w:p>
        </w:tc>
        <w:tc>
          <w:tcPr>
            <w:tcW w:w="1559" w:type="dxa"/>
            <w:tcBorders>
              <w:top w:val="nil"/>
              <w:left w:val="nil"/>
              <w:bottom w:val="nil"/>
              <w:right w:val="nil"/>
            </w:tcBorders>
            <w:vAlign w:val="center"/>
          </w:tcPr>
          <w:p w14:paraId="18B1CB27" w14:textId="77777777" w:rsidR="001312C3" w:rsidRPr="00202A28" w:rsidRDefault="001312C3" w:rsidP="000167D1">
            <w:pPr>
              <w:jc w:val="both"/>
              <w:rPr>
                <w:i/>
                <w:iCs/>
                <w:sz w:val="22"/>
                <w:szCs w:val="22"/>
              </w:rPr>
            </w:pPr>
            <w:r w:rsidRPr="00202A28">
              <w:rPr>
                <w:i/>
                <w:iCs/>
                <w:sz w:val="22"/>
                <w:szCs w:val="22"/>
              </w:rPr>
              <w:t>Non-executive</w:t>
            </w:r>
            <w:r>
              <w:rPr>
                <w:i/>
                <w:iCs/>
                <w:sz w:val="22"/>
                <w:szCs w:val="22"/>
              </w:rPr>
              <w:t xml:space="preserve"> Director</w:t>
            </w:r>
          </w:p>
        </w:tc>
        <w:tc>
          <w:tcPr>
            <w:tcW w:w="5358" w:type="dxa"/>
            <w:tcBorders>
              <w:top w:val="nil"/>
              <w:left w:val="nil"/>
              <w:bottom w:val="nil"/>
              <w:right w:val="nil"/>
            </w:tcBorders>
            <w:vAlign w:val="center"/>
          </w:tcPr>
          <w:p w14:paraId="77CB51C2" w14:textId="77777777" w:rsidR="001312C3" w:rsidRDefault="001312C3" w:rsidP="001312C3">
            <w:pPr>
              <w:pStyle w:val="ListParagraph"/>
              <w:numPr>
                <w:ilvl w:val="0"/>
                <w:numId w:val="5"/>
              </w:numPr>
              <w:jc w:val="both"/>
              <w:rPr>
                <w:i/>
                <w:iCs/>
                <w:sz w:val="22"/>
                <w:szCs w:val="22"/>
              </w:rPr>
            </w:pPr>
            <w:r>
              <w:rPr>
                <w:i/>
                <w:iCs/>
                <w:sz w:val="22"/>
                <w:szCs w:val="22"/>
              </w:rPr>
              <w:t>W</w:t>
            </w:r>
            <w:r w:rsidRPr="00202A28">
              <w:rPr>
                <w:i/>
                <w:iCs/>
                <w:sz w:val="22"/>
                <w:szCs w:val="22"/>
              </w:rPr>
              <w:t xml:space="preserve">orked in senior roles at Lloyds, </w:t>
            </w:r>
            <w:proofErr w:type="spellStart"/>
            <w:r w:rsidRPr="00202A28">
              <w:rPr>
                <w:i/>
                <w:iCs/>
                <w:sz w:val="22"/>
                <w:szCs w:val="22"/>
              </w:rPr>
              <w:t>HBoS</w:t>
            </w:r>
            <w:proofErr w:type="spellEnd"/>
            <w:r w:rsidRPr="00202A28">
              <w:rPr>
                <w:i/>
                <w:iCs/>
                <w:sz w:val="22"/>
                <w:szCs w:val="22"/>
              </w:rPr>
              <w:t xml:space="preserve"> and Bank of Scotland</w:t>
            </w:r>
            <w:r>
              <w:rPr>
                <w:i/>
                <w:iCs/>
                <w:sz w:val="22"/>
                <w:szCs w:val="22"/>
              </w:rPr>
              <w:t xml:space="preserve">, with </w:t>
            </w:r>
            <w:r w:rsidRPr="00202A28">
              <w:rPr>
                <w:i/>
                <w:iCs/>
                <w:sz w:val="22"/>
                <w:szCs w:val="22"/>
              </w:rPr>
              <w:t>15 years of investment-led boardroom positions</w:t>
            </w:r>
          </w:p>
          <w:p w14:paraId="4E0C8154" w14:textId="77777777" w:rsidR="001312C3" w:rsidRPr="00202A28" w:rsidRDefault="001312C3" w:rsidP="001312C3">
            <w:pPr>
              <w:pStyle w:val="ListParagraph"/>
              <w:numPr>
                <w:ilvl w:val="0"/>
                <w:numId w:val="5"/>
              </w:numPr>
              <w:jc w:val="both"/>
              <w:rPr>
                <w:i/>
                <w:iCs/>
                <w:sz w:val="22"/>
                <w:szCs w:val="22"/>
              </w:rPr>
            </w:pPr>
            <w:r>
              <w:rPr>
                <w:i/>
                <w:iCs/>
                <w:sz w:val="22"/>
                <w:szCs w:val="22"/>
              </w:rPr>
              <w:t>C</w:t>
            </w:r>
            <w:r w:rsidRPr="00202A28">
              <w:rPr>
                <w:i/>
                <w:iCs/>
                <w:sz w:val="22"/>
                <w:szCs w:val="22"/>
              </w:rPr>
              <w:t>urrently a Non-Executive Director at Green Property Limited.</w:t>
            </w:r>
          </w:p>
        </w:tc>
        <w:tc>
          <w:tcPr>
            <w:tcW w:w="1300" w:type="dxa"/>
            <w:tcBorders>
              <w:top w:val="nil"/>
              <w:left w:val="nil"/>
              <w:bottom w:val="nil"/>
              <w:right w:val="nil"/>
            </w:tcBorders>
            <w:vAlign w:val="center"/>
          </w:tcPr>
          <w:p w14:paraId="50CA451D" w14:textId="77777777" w:rsidR="001312C3" w:rsidRPr="00A47896" w:rsidRDefault="001312C3" w:rsidP="000167D1">
            <w:pPr>
              <w:jc w:val="center"/>
              <w:rPr>
                <w:sz w:val="22"/>
                <w:szCs w:val="22"/>
              </w:rPr>
            </w:pPr>
            <w:r>
              <w:rPr>
                <w:sz w:val="22"/>
                <w:szCs w:val="22"/>
              </w:rPr>
              <w:t>Abertay University, BA in Accountancy</w:t>
            </w:r>
          </w:p>
        </w:tc>
      </w:tr>
      <w:tr w:rsidR="001312C3" w14:paraId="2A11027B" w14:textId="77777777" w:rsidTr="000167D1">
        <w:trPr>
          <w:trHeight w:val="672"/>
        </w:trPr>
        <w:tc>
          <w:tcPr>
            <w:tcW w:w="1276" w:type="dxa"/>
            <w:tcBorders>
              <w:top w:val="nil"/>
              <w:left w:val="nil"/>
              <w:bottom w:val="single" w:sz="4" w:space="0" w:color="000000"/>
              <w:right w:val="nil"/>
            </w:tcBorders>
          </w:tcPr>
          <w:p w14:paraId="3B6AF85A" w14:textId="77777777" w:rsidR="001312C3" w:rsidRPr="00202A28" w:rsidRDefault="001312C3" w:rsidP="000167D1">
            <w:pPr>
              <w:rPr>
                <w:i/>
                <w:iCs/>
                <w:sz w:val="22"/>
                <w:szCs w:val="22"/>
              </w:rPr>
            </w:pPr>
            <w:r w:rsidRPr="00202A28">
              <w:rPr>
                <w:i/>
                <w:iCs/>
                <w:sz w:val="22"/>
                <w:szCs w:val="22"/>
              </w:rPr>
              <w:t>Mark Johnson</w:t>
            </w:r>
          </w:p>
        </w:tc>
        <w:tc>
          <w:tcPr>
            <w:tcW w:w="1559" w:type="dxa"/>
            <w:tcBorders>
              <w:top w:val="nil"/>
              <w:left w:val="nil"/>
              <w:bottom w:val="single" w:sz="4" w:space="0" w:color="000000"/>
              <w:right w:val="nil"/>
            </w:tcBorders>
          </w:tcPr>
          <w:p w14:paraId="11C66027" w14:textId="77777777" w:rsidR="001312C3" w:rsidRPr="00202A28" w:rsidRDefault="001312C3" w:rsidP="000167D1">
            <w:pPr>
              <w:rPr>
                <w:i/>
                <w:iCs/>
                <w:sz w:val="22"/>
                <w:szCs w:val="22"/>
              </w:rPr>
            </w:pPr>
            <w:r>
              <w:rPr>
                <w:i/>
                <w:iCs/>
                <w:sz w:val="22"/>
                <w:szCs w:val="22"/>
              </w:rPr>
              <w:t>Director</w:t>
            </w:r>
          </w:p>
        </w:tc>
        <w:tc>
          <w:tcPr>
            <w:tcW w:w="5358" w:type="dxa"/>
            <w:tcBorders>
              <w:top w:val="nil"/>
              <w:left w:val="nil"/>
              <w:bottom w:val="single" w:sz="4" w:space="0" w:color="000000"/>
              <w:right w:val="nil"/>
            </w:tcBorders>
            <w:vAlign w:val="center"/>
          </w:tcPr>
          <w:p w14:paraId="02636847" w14:textId="77777777" w:rsidR="001312C3" w:rsidRDefault="001312C3" w:rsidP="001312C3">
            <w:pPr>
              <w:pStyle w:val="ListParagraph"/>
              <w:numPr>
                <w:ilvl w:val="0"/>
                <w:numId w:val="5"/>
              </w:numPr>
              <w:jc w:val="both"/>
              <w:rPr>
                <w:i/>
                <w:iCs/>
                <w:sz w:val="22"/>
                <w:szCs w:val="22"/>
              </w:rPr>
            </w:pPr>
            <w:r w:rsidRPr="00202A28">
              <w:rPr>
                <w:i/>
                <w:iCs/>
                <w:sz w:val="22"/>
                <w:szCs w:val="22"/>
              </w:rPr>
              <w:t>Co-founded Pacific Investments Management Limited (“Pacific Investments”) with Sir John Beckwith</w:t>
            </w:r>
          </w:p>
          <w:p w14:paraId="3AA4106F" w14:textId="77777777" w:rsidR="001312C3" w:rsidRDefault="001312C3" w:rsidP="001312C3">
            <w:pPr>
              <w:pStyle w:val="ListParagraph"/>
              <w:numPr>
                <w:ilvl w:val="0"/>
                <w:numId w:val="5"/>
              </w:numPr>
              <w:jc w:val="both"/>
              <w:rPr>
                <w:i/>
                <w:iCs/>
                <w:sz w:val="22"/>
                <w:szCs w:val="22"/>
              </w:rPr>
            </w:pPr>
            <w:r>
              <w:rPr>
                <w:i/>
                <w:iCs/>
                <w:sz w:val="22"/>
                <w:szCs w:val="22"/>
              </w:rPr>
              <w:t xml:space="preserve">Previously </w:t>
            </w:r>
            <w:r w:rsidRPr="00202A28">
              <w:rPr>
                <w:i/>
                <w:iCs/>
                <w:sz w:val="22"/>
                <w:szCs w:val="22"/>
              </w:rPr>
              <w:t>CEO of the Riverside Group</w:t>
            </w:r>
          </w:p>
          <w:p w14:paraId="43174559" w14:textId="77777777" w:rsidR="001312C3" w:rsidRDefault="001312C3" w:rsidP="001312C3">
            <w:pPr>
              <w:pStyle w:val="ListParagraph"/>
              <w:numPr>
                <w:ilvl w:val="0"/>
                <w:numId w:val="5"/>
              </w:numPr>
              <w:jc w:val="both"/>
              <w:rPr>
                <w:i/>
                <w:iCs/>
                <w:sz w:val="22"/>
                <w:szCs w:val="22"/>
              </w:rPr>
            </w:pPr>
            <w:r>
              <w:rPr>
                <w:i/>
                <w:iCs/>
                <w:sz w:val="22"/>
                <w:szCs w:val="22"/>
              </w:rPr>
              <w:t>F</w:t>
            </w:r>
            <w:r w:rsidRPr="00202A28">
              <w:rPr>
                <w:i/>
                <w:iCs/>
                <w:sz w:val="22"/>
                <w:szCs w:val="22"/>
              </w:rPr>
              <w:t>ounding partner and shareholder/Director of Pacific’s investment portfolio and private equity companies</w:t>
            </w:r>
          </w:p>
          <w:p w14:paraId="6ECC3BB3" w14:textId="77777777" w:rsidR="001312C3" w:rsidRPr="00202A28" w:rsidRDefault="001312C3" w:rsidP="000167D1">
            <w:pPr>
              <w:jc w:val="both"/>
              <w:rPr>
                <w:i/>
                <w:iCs/>
                <w:sz w:val="22"/>
                <w:szCs w:val="22"/>
              </w:rPr>
            </w:pPr>
            <w:r w:rsidRPr="00202A28">
              <w:rPr>
                <w:i/>
                <w:iCs/>
                <w:color w:val="808080" w:themeColor="background1" w:themeShade="80"/>
                <w:sz w:val="22"/>
                <w:szCs w:val="22"/>
              </w:rPr>
              <w:t xml:space="preserve">(including Barbican Healthcare Plc, Sports &amp; Outdoor Media International Plc, </w:t>
            </w:r>
            <w:proofErr w:type="spellStart"/>
            <w:r w:rsidRPr="00202A28">
              <w:rPr>
                <w:i/>
                <w:iCs/>
                <w:color w:val="808080" w:themeColor="background1" w:themeShade="80"/>
                <w:sz w:val="22"/>
                <w:szCs w:val="22"/>
              </w:rPr>
              <w:t>Liontrust</w:t>
            </w:r>
            <w:proofErr w:type="spellEnd"/>
            <w:r w:rsidRPr="00202A28">
              <w:rPr>
                <w:i/>
                <w:iCs/>
                <w:color w:val="808080" w:themeColor="background1" w:themeShade="80"/>
                <w:sz w:val="22"/>
                <w:szCs w:val="22"/>
              </w:rPr>
              <w:t xml:space="preserve"> Asset Management Plc, Thames River Capital LLP, River and Mercantile Group Plc, </w:t>
            </w:r>
            <w:proofErr w:type="spellStart"/>
            <w:r w:rsidRPr="00202A28">
              <w:rPr>
                <w:i/>
                <w:iCs/>
                <w:color w:val="808080" w:themeColor="background1" w:themeShade="80"/>
                <w:sz w:val="22"/>
                <w:szCs w:val="22"/>
              </w:rPr>
              <w:t>Argentex</w:t>
            </w:r>
            <w:proofErr w:type="spellEnd"/>
            <w:r w:rsidRPr="00202A28">
              <w:rPr>
                <w:i/>
                <w:iCs/>
                <w:color w:val="808080" w:themeColor="background1" w:themeShade="80"/>
                <w:sz w:val="22"/>
                <w:szCs w:val="22"/>
              </w:rPr>
              <w:t xml:space="preserve"> LLP and Pacific Asset Management LLP.)</w:t>
            </w:r>
          </w:p>
        </w:tc>
        <w:tc>
          <w:tcPr>
            <w:tcW w:w="1300" w:type="dxa"/>
            <w:tcBorders>
              <w:top w:val="nil"/>
              <w:left w:val="nil"/>
              <w:bottom w:val="single" w:sz="4" w:space="0" w:color="000000"/>
              <w:right w:val="nil"/>
            </w:tcBorders>
            <w:vAlign w:val="center"/>
          </w:tcPr>
          <w:p w14:paraId="2C1B3019" w14:textId="77777777" w:rsidR="001312C3" w:rsidRPr="00202A28" w:rsidRDefault="001312C3" w:rsidP="000167D1">
            <w:pPr>
              <w:jc w:val="center"/>
              <w:rPr>
                <w:i/>
                <w:iCs/>
                <w:sz w:val="22"/>
                <w:szCs w:val="22"/>
              </w:rPr>
            </w:pPr>
            <w:r>
              <w:rPr>
                <w:sz w:val="22"/>
                <w:szCs w:val="22"/>
              </w:rPr>
              <w:t>NA</w:t>
            </w:r>
          </w:p>
        </w:tc>
      </w:tr>
    </w:tbl>
    <w:p w14:paraId="6998E287" w14:textId="77777777" w:rsidR="000604DE" w:rsidRDefault="001312C3" w:rsidP="000604DE">
      <w:pPr>
        <w:jc w:val="both"/>
        <w:rPr>
          <w:i/>
          <w:iCs/>
        </w:rPr>
      </w:pPr>
      <w:r w:rsidRPr="00202A28">
        <w:rPr>
          <w:i/>
          <w:iCs/>
        </w:rPr>
        <w:t>Source: 2019 Annual Repor</w:t>
      </w:r>
      <w:r w:rsidR="000604DE">
        <w:rPr>
          <w:i/>
          <w:iCs/>
        </w:rPr>
        <w:t>t</w:t>
      </w:r>
    </w:p>
    <w:p w14:paraId="29373793" w14:textId="77777777" w:rsidR="000604DE" w:rsidRDefault="000604DE" w:rsidP="000604DE">
      <w:pPr>
        <w:jc w:val="both"/>
        <w:rPr>
          <w:i/>
          <w:iCs/>
        </w:rPr>
      </w:pPr>
    </w:p>
    <w:p w14:paraId="465BD6C6" w14:textId="77777777" w:rsidR="000604DE" w:rsidRDefault="000604DE" w:rsidP="000604DE">
      <w:pPr>
        <w:jc w:val="both"/>
        <w:rPr>
          <w:i/>
          <w:iCs/>
        </w:rPr>
      </w:pPr>
    </w:p>
    <w:p w14:paraId="4C4B31A3" w14:textId="77777777" w:rsidR="000604DE" w:rsidRDefault="000604DE" w:rsidP="000604DE">
      <w:pPr>
        <w:jc w:val="both"/>
        <w:rPr>
          <w:i/>
          <w:iCs/>
        </w:rPr>
      </w:pPr>
    </w:p>
    <w:p w14:paraId="7BBC0D88" w14:textId="77777777" w:rsidR="000604DE" w:rsidRDefault="000604DE" w:rsidP="000604DE">
      <w:pPr>
        <w:jc w:val="both"/>
        <w:rPr>
          <w:i/>
          <w:iCs/>
        </w:rPr>
      </w:pPr>
    </w:p>
    <w:p w14:paraId="78601A02" w14:textId="77777777" w:rsidR="000604DE" w:rsidRDefault="000604DE" w:rsidP="000604DE">
      <w:pPr>
        <w:jc w:val="both"/>
        <w:rPr>
          <w:i/>
          <w:iCs/>
        </w:rPr>
      </w:pPr>
    </w:p>
    <w:p w14:paraId="19D2A575" w14:textId="77777777" w:rsidR="000604DE" w:rsidRDefault="000604DE" w:rsidP="000604DE">
      <w:pPr>
        <w:jc w:val="both"/>
        <w:rPr>
          <w:i/>
          <w:iCs/>
        </w:rPr>
      </w:pPr>
    </w:p>
    <w:p w14:paraId="41222E2E" w14:textId="77777777" w:rsidR="000604DE" w:rsidRDefault="000604DE" w:rsidP="000604DE">
      <w:pPr>
        <w:jc w:val="both"/>
        <w:rPr>
          <w:i/>
          <w:iCs/>
        </w:rPr>
      </w:pPr>
    </w:p>
    <w:p w14:paraId="575268C9" w14:textId="77777777" w:rsidR="000604DE" w:rsidRDefault="000604DE" w:rsidP="000604DE">
      <w:pPr>
        <w:jc w:val="both"/>
        <w:rPr>
          <w:i/>
          <w:iCs/>
        </w:rPr>
      </w:pPr>
    </w:p>
    <w:p w14:paraId="0F8ACB34" w14:textId="77777777" w:rsidR="000604DE" w:rsidRDefault="000604DE" w:rsidP="000604DE">
      <w:pPr>
        <w:jc w:val="both"/>
        <w:rPr>
          <w:i/>
          <w:iCs/>
        </w:rPr>
      </w:pPr>
    </w:p>
    <w:p w14:paraId="5AA237BF" w14:textId="77777777" w:rsidR="000604DE" w:rsidRDefault="000604DE" w:rsidP="000604DE">
      <w:pPr>
        <w:jc w:val="both"/>
        <w:rPr>
          <w:i/>
          <w:iCs/>
        </w:rPr>
      </w:pPr>
    </w:p>
    <w:p w14:paraId="1C417A86" w14:textId="77777777" w:rsidR="000604DE" w:rsidRDefault="000604DE" w:rsidP="000604DE">
      <w:pPr>
        <w:jc w:val="both"/>
        <w:rPr>
          <w:i/>
          <w:iCs/>
        </w:rPr>
      </w:pPr>
    </w:p>
    <w:p w14:paraId="17061BE2" w14:textId="77777777" w:rsidR="000604DE" w:rsidRDefault="000604DE" w:rsidP="000604DE">
      <w:pPr>
        <w:jc w:val="both"/>
        <w:rPr>
          <w:i/>
          <w:iCs/>
        </w:rPr>
      </w:pPr>
    </w:p>
    <w:p w14:paraId="60685F3A" w14:textId="77777777" w:rsidR="000604DE" w:rsidRDefault="000604DE" w:rsidP="000604DE">
      <w:pPr>
        <w:jc w:val="both"/>
        <w:rPr>
          <w:i/>
          <w:iCs/>
        </w:rPr>
      </w:pPr>
    </w:p>
    <w:p w14:paraId="1F1A21C5" w14:textId="77777777" w:rsidR="000604DE" w:rsidRDefault="000604DE" w:rsidP="000604DE">
      <w:pPr>
        <w:jc w:val="both"/>
        <w:rPr>
          <w:i/>
          <w:iCs/>
        </w:rPr>
      </w:pPr>
    </w:p>
    <w:p w14:paraId="488E330B" w14:textId="77777777" w:rsidR="000604DE" w:rsidRDefault="000604DE" w:rsidP="000604DE">
      <w:pPr>
        <w:jc w:val="both"/>
        <w:rPr>
          <w:i/>
          <w:iCs/>
        </w:rPr>
      </w:pPr>
    </w:p>
    <w:p w14:paraId="12491AD8" w14:textId="77777777" w:rsidR="000604DE" w:rsidRDefault="000604DE" w:rsidP="000604DE">
      <w:pPr>
        <w:jc w:val="both"/>
        <w:rPr>
          <w:i/>
          <w:iCs/>
        </w:rPr>
      </w:pPr>
    </w:p>
    <w:p w14:paraId="19978EE3" w14:textId="77777777" w:rsidR="000604DE" w:rsidRDefault="000604DE" w:rsidP="000604DE">
      <w:pPr>
        <w:jc w:val="both"/>
        <w:rPr>
          <w:i/>
          <w:iCs/>
        </w:rPr>
      </w:pPr>
    </w:p>
    <w:p w14:paraId="665159B4" w14:textId="77777777" w:rsidR="000604DE" w:rsidRDefault="000604DE" w:rsidP="000604DE">
      <w:pPr>
        <w:jc w:val="both"/>
        <w:rPr>
          <w:i/>
          <w:iCs/>
        </w:rPr>
      </w:pPr>
    </w:p>
    <w:p w14:paraId="59EB33EB" w14:textId="77777777" w:rsidR="000604DE" w:rsidRDefault="000604DE" w:rsidP="000604DE">
      <w:pPr>
        <w:jc w:val="both"/>
        <w:rPr>
          <w:i/>
          <w:iCs/>
        </w:rPr>
      </w:pPr>
    </w:p>
    <w:p w14:paraId="2F339CEF" w14:textId="77777777" w:rsidR="000604DE" w:rsidRDefault="000604DE" w:rsidP="000604DE">
      <w:pPr>
        <w:jc w:val="both"/>
        <w:rPr>
          <w:i/>
          <w:iCs/>
        </w:rPr>
      </w:pPr>
    </w:p>
    <w:p w14:paraId="6A183924" w14:textId="77777777" w:rsidR="000604DE" w:rsidRPr="000604DE" w:rsidRDefault="000604DE" w:rsidP="000604DE">
      <w:pPr>
        <w:jc w:val="both"/>
        <w:rPr>
          <w:i/>
          <w:iCs/>
        </w:rPr>
      </w:pPr>
    </w:p>
    <w:p w14:paraId="3E54FC62" w14:textId="77777777" w:rsidR="001312C3" w:rsidRDefault="001312C3" w:rsidP="001312C3">
      <w:pPr>
        <w:rPr>
          <w:rFonts w:ascii="Financier Display Semibold" w:hAnsi="Financier Display Semibold"/>
          <w:b/>
          <w:bCs/>
          <w:i/>
          <w:iCs/>
        </w:rPr>
      </w:pPr>
    </w:p>
    <w:p w14:paraId="5D63216D" w14:textId="77777777" w:rsidR="001312C3" w:rsidRDefault="001312C3" w:rsidP="001312C3">
      <w:pPr>
        <w:rPr>
          <w:rFonts w:ascii="Financier Display Semibold" w:hAnsi="Financier Display Semibold"/>
          <w:b/>
          <w:bCs/>
          <w:i/>
          <w:iCs/>
        </w:rPr>
      </w:pPr>
    </w:p>
    <w:p w14:paraId="3F064D08" w14:textId="77777777" w:rsidR="001312C3" w:rsidRPr="001312C3" w:rsidRDefault="001312C3" w:rsidP="001312C3">
      <w:pPr>
        <w:rPr>
          <w:rFonts w:ascii="Financier Display Semibold" w:hAnsi="Financier Display Semibold"/>
          <w:b/>
          <w:bCs/>
          <w:i/>
          <w:iCs/>
        </w:rPr>
      </w:pPr>
      <w:r w:rsidRPr="00202A28">
        <w:rPr>
          <w:rFonts w:ascii="Financier Display Semibold" w:hAnsi="Financier Display Semibold"/>
          <w:b/>
          <w:bCs/>
          <w:i/>
          <w:iCs/>
        </w:rPr>
        <w:t>Execu</w:t>
      </w:r>
      <w:r>
        <w:rPr>
          <w:rFonts w:ascii="Financier Display Semibold" w:hAnsi="Financier Display Semibold"/>
          <w:b/>
          <w:bCs/>
          <w:i/>
          <w:iCs/>
        </w:rPr>
        <w:t>tiv</w:t>
      </w:r>
      <w:r w:rsidRPr="00202A28">
        <w:rPr>
          <w:rFonts w:ascii="Financier Display Semibold" w:hAnsi="Financier Display Semibold"/>
          <w:b/>
          <w:bCs/>
          <w:i/>
          <w:iCs/>
        </w:rPr>
        <w:t>e Pay</w:t>
      </w:r>
    </w:p>
    <w:p w14:paraId="6FC5FE1A" w14:textId="77777777" w:rsidR="001312C3" w:rsidRDefault="001312C3" w:rsidP="001312C3">
      <w:r>
        <w:rPr>
          <w:noProof/>
        </w:rPr>
        <w:drawing>
          <wp:inline distT="0" distB="0" distL="0" distR="0" wp14:anchorId="54E07AF2" wp14:editId="42D97DC4">
            <wp:extent cx="4572000" cy="5791200"/>
            <wp:effectExtent l="0" t="0" r="0" b="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03-02 at 21.59.48.png"/>
                    <pic:cNvPicPr/>
                  </pic:nvPicPr>
                  <pic:blipFill>
                    <a:blip r:embed="rId22">
                      <a:extLst>
                        <a:ext uri="{28A0092B-C50C-407E-A947-70E740481C1C}">
                          <a14:useLocalDpi xmlns:a14="http://schemas.microsoft.com/office/drawing/2010/main" val="0"/>
                        </a:ext>
                      </a:extLst>
                    </a:blip>
                    <a:stretch>
                      <a:fillRect/>
                    </a:stretch>
                  </pic:blipFill>
                  <pic:spPr>
                    <a:xfrm>
                      <a:off x="0" y="0"/>
                      <a:ext cx="4572000" cy="5791200"/>
                    </a:xfrm>
                    <a:prstGeom prst="rect">
                      <a:avLst/>
                    </a:prstGeom>
                  </pic:spPr>
                </pic:pic>
              </a:graphicData>
            </a:graphic>
          </wp:inline>
        </w:drawing>
      </w:r>
    </w:p>
    <w:p w14:paraId="19B20F41" w14:textId="77777777" w:rsidR="001312C3" w:rsidRPr="00202A28" w:rsidRDefault="001312C3" w:rsidP="001312C3">
      <w:pPr>
        <w:jc w:val="center"/>
        <w:rPr>
          <w:i/>
          <w:iCs/>
        </w:rPr>
      </w:pPr>
      <w:r w:rsidRPr="00202A28">
        <w:rPr>
          <w:i/>
          <w:iCs/>
        </w:rPr>
        <w:t>Source: 2019 Annual Report</w:t>
      </w:r>
    </w:p>
    <w:p w14:paraId="5EFFE1FD" w14:textId="77777777" w:rsidR="001312C3" w:rsidRDefault="001312C3" w:rsidP="001312C3">
      <w:pPr>
        <w:jc w:val="both"/>
      </w:pPr>
    </w:p>
    <w:p w14:paraId="198D9BA7" w14:textId="77777777" w:rsidR="001312C3" w:rsidRDefault="001312C3" w:rsidP="001312C3">
      <w:pPr>
        <w:jc w:val="both"/>
      </w:pPr>
      <w:r>
        <w:t xml:space="preserve">The remuneration appears to, by and large, align the interests of the Board of Directors with those of the Shareholders. However, the compensation of two directors remains unclear. </w:t>
      </w:r>
    </w:p>
    <w:p w14:paraId="689908FE" w14:textId="77777777" w:rsidR="001312C3" w:rsidRDefault="001312C3" w:rsidP="001312C3">
      <w:pPr>
        <w:jc w:val="both"/>
      </w:pPr>
    </w:p>
    <w:p w14:paraId="51FAE25F" w14:textId="77777777" w:rsidR="001312C3" w:rsidRDefault="001312C3" w:rsidP="001312C3">
      <w:pPr>
        <w:jc w:val="both"/>
      </w:pPr>
      <w:r>
        <w:t>Richard Moffitt has an interest in M1 Agency LLP, which is a company used for the purchase and sale of assets, thus it is unclear whether Moffitt’s salary is paid through M1 Agency LLP. The economic agreement between M1 Agency LLP and Urban Logistics is also unclear as only the total amount of fees, and not the precise fee arrangement, is stated in the annual reports. Suspicions thus arise for Mark Johnson’s remuneration package as it might also not be fully disclosed in the annual reports.</w:t>
      </w:r>
    </w:p>
    <w:p w14:paraId="20CB3825" w14:textId="77777777" w:rsidR="001312C3" w:rsidRDefault="001312C3" w:rsidP="001312C3">
      <w:pPr>
        <w:jc w:val="both"/>
      </w:pPr>
    </w:p>
    <w:p w14:paraId="2F35B0EB" w14:textId="77777777" w:rsidR="001312C3" w:rsidRPr="0043157B" w:rsidRDefault="001312C3" w:rsidP="001312C3">
      <w:pPr>
        <w:jc w:val="both"/>
      </w:pPr>
      <w:r>
        <w:t xml:space="preserve">In light of the above due diligence screening a thorough enquiry into Urban Logistics’ governance structure is  suggested to fully understand the interests of the directors as well as shed light on to </w:t>
      </w:r>
      <w:r>
        <w:lastRenderedPageBreak/>
        <w:t>whom is responsible for the day to day running of the firm besides Moffitt and Johnson (the only people on the board which appear to have executive roles).</w:t>
      </w:r>
    </w:p>
    <w:p w14:paraId="39D0FA2B" w14:textId="77777777" w:rsidR="001312C3" w:rsidRPr="001312C3" w:rsidRDefault="001312C3" w:rsidP="001312C3">
      <w:pPr>
        <w:spacing w:line="287" w:lineRule="exact"/>
        <w:ind w:left="-20"/>
        <w:rPr>
          <w:rFonts w:ascii="Calibri" w:eastAsia="Calibri" w:hAnsi="Calibri" w:cs="Calibri"/>
          <w:i/>
          <w:iCs/>
          <w:color w:val="000000"/>
        </w:rPr>
      </w:pPr>
    </w:p>
    <w:sectPr w:rsidR="001312C3" w:rsidRPr="001312C3" w:rsidSect="00C31C96">
      <w:pgSz w:w="10800" w:h="15600"/>
      <w:pgMar w:top="474" w:right="511" w:bottom="0" w:left="478" w:header="720" w:footer="22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72E357" w14:textId="77777777" w:rsidR="009451CF" w:rsidRDefault="009451CF" w:rsidP="00C31C96">
      <w:r>
        <w:separator/>
      </w:r>
    </w:p>
  </w:endnote>
  <w:endnote w:type="continuationSeparator" w:id="0">
    <w:p w14:paraId="60730B0F" w14:textId="77777777" w:rsidR="009451CF" w:rsidRDefault="009451CF" w:rsidP="00C31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inancier Display">
    <w:altName w:val="Cambria"/>
    <w:panose1 w:val="00000000000000000000"/>
    <w:charset w:val="4D"/>
    <w:family w:val="roman"/>
    <w:notTrueType/>
    <w:pitch w:val="variable"/>
    <w:sig w:usb0="00000007" w:usb1="00000000" w:usb2="00000000" w:usb3="00000000" w:csb0="00000093" w:csb1="00000000"/>
  </w:font>
  <w:font w:name="Times New Roman (Body CS)">
    <w:altName w:val="Times New Roman"/>
    <w:panose1 w:val="00000000000000000000"/>
    <w:charset w:val="00"/>
    <w:family w:val="roman"/>
    <w:notTrueType/>
    <w:pitch w:val="default"/>
  </w:font>
  <w:font w:name="Financier Display Semibold">
    <w:altName w:val="Cambria"/>
    <w:panose1 w:val="00000000000000000000"/>
    <w:charset w:val="4D"/>
    <w:family w:val="roman"/>
    <w:notTrueType/>
    <w:pitch w:val="variable"/>
    <w:sig w:usb0="00000007" w:usb1="00000000" w:usb2="00000000" w:usb3="00000000" w:csb0="00000093" w:csb1="00000000"/>
  </w:font>
  <w:font w:name="Financier Display Medium">
    <w:altName w:val="Cambria"/>
    <w:panose1 w:val="00000000000000000000"/>
    <w:charset w:val="4D"/>
    <w:family w:val="roma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79694046"/>
      <w:docPartObj>
        <w:docPartGallery w:val="Page Numbers (Bottom of Page)"/>
        <w:docPartUnique/>
      </w:docPartObj>
    </w:sdtPr>
    <w:sdtContent>
      <w:p w14:paraId="388A2B05" w14:textId="77777777" w:rsidR="00062D14" w:rsidRDefault="00062D14" w:rsidP="00402A3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A12F84" w14:textId="77777777" w:rsidR="00062D14" w:rsidRDefault="00062D14" w:rsidP="00402A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01690897"/>
      <w:docPartObj>
        <w:docPartGallery w:val="Page Numbers (Bottom of Page)"/>
        <w:docPartUnique/>
      </w:docPartObj>
    </w:sdtPr>
    <w:sdtContent>
      <w:p w14:paraId="7A079A1E" w14:textId="77777777" w:rsidR="00062D14" w:rsidRDefault="00062D14" w:rsidP="00402A3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22</w:t>
        </w:r>
        <w:r>
          <w:rPr>
            <w:rStyle w:val="PageNumber"/>
          </w:rPr>
          <w:fldChar w:fldCharType="end"/>
        </w:r>
      </w:p>
    </w:sdtContent>
  </w:sdt>
  <w:p w14:paraId="10B05E39" w14:textId="4944F057" w:rsidR="00062D14" w:rsidRPr="00593D5B" w:rsidRDefault="00062D14" w:rsidP="00402A34">
    <w:pPr>
      <w:tabs>
        <w:tab w:val="right" w:pos="22680"/>
      </w:tabs>
      <w:spacing w:line="287" w:lineRule="exact"/>
      <w:ind w:right="360"/>
      <w:rPr>
        <w:rFonts w:ascii="Calibri" w:eastAsia="Calibri" w:hAnsi="Calibri" w:cs="Calibri"/>
        <w:color w:val="000000"/>
      </w:rPr>
    </w:pPr>
    <w:r>
      <w:rPr>
        <w:rFonts w:ascii="Calibri" w:eastAsia="Calibri" w:hAnsi="Calibri" w:cs="Calibri"/>
        <w:color w:val="000000"/>
      </w:rPr>
      <w:tab/>
    </w:r>
    <w:r>
      <w:rPr>
        <w:rFonts w:ascii="Calibri" w:eastAsia="Calibri" w:hAnsi="Calibri" w:cs="Calibri"/>
        <w:i/>
        <w:iCs/>
        <w:color w:val="000000"/>
        <w:position w:val="4"/>
      </w:rPr>
      <w:t>DUSIF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F782CD" w14:textId="77777777" w:rsidR="009451CF" w:rsidRDefault="009451CF" w:rsidP="00C31C96">
      <w:r>
        <w:separator/>
      </w:r>
    </w:p>
  </w:footnote>
  <w:footnote w:type="continuationSeparator" w:id="0">
    <w:p w14:paraId="76B178B3" w14:textId="77777777" w:rsidR="009451CF" w:rsidRDefault="009451CF" w:rsidP="00C31C96">
      <w:r>
        <w:continuationSeparator/>
      </w:r>
    </w:p>
  </w:footnote>
  <w:footnote w:id="1">
    <w:p w14:paraId="219137E7" w14:textId="77777777" w:rsidR="00062D14" w:rsidRPr="00BE50A3" w:rsidRDefault="00062D14" w:rsidP="001312C3">
      <w:pPr>
        <w:pStyle w:val="FootnoteText"/>
      </w:pPr>
      <w:r>
        <w:rPr>
          <w:rStyle w:val="FootnoteReference"/>
        </w:rPr>
        <w:footnoteRef/>
      </w:r>
      <w:r>
        <w:t xml:space="preserve"> Annualised returns are calculated as follows: Annualised return = (1 + cumulative return)</w:t>
      </w:r>
      <w:r>
        <w:rPr>
          <w:vertAlign w:val="superscript"/>
        </w:rPr>
        <w:t>365/days held</w:t>
      </w:r>
      <w:r>
        <w:t xml:space="preserve"> –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6698F"/>
    <w:multiLevelType w:val="hybridMultilevel"/>
    <w:tmpl w:val="EF88C57C"/>
    <w:lvl w:ilvl="0" w:tplc="D97C060A">
      <w:start w:val="1"/>
      <w:numFmt w:val="decimal"/>
      <w:lvlText w:val="%1)"/>
      <w:lvlJc w:val="left"/>
      <w:pPr>
        <w:ind w:left="720" w:hanging="360"/>
      </w:pPr>
      <w:rPr>
        <w:rFonts w:asciiTheme="minorHAnsi" w:eastAsiaTheme="minorEastAsia"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3C1179"/>
    <w:multiLevelType w:val="hybridMultilevel"/>
    <w:tmpl w:val="08A2A4EA"/>
    <w:lvl w:ilvl="0" w:tplc="10B0B4FE">
      <w:numFmt w:val="bullet"/>
      <w:lvlText w:val=""/>
      <w:lvlJc w:val="left"/>
      <w:pPr>
        <w:ind w:left="720" w:hanging="360"/>
      </w:pPr>
      <w:rPr>
        <w:rFonts w:ascii="Wingdings" w:eastAsia="Calibri" w:hAnsi="Wingdings" w:cs="Calibr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B66CEA"/>
    <w:multiLevelType w:val="hybridMultilevel"/>
    <w:tmpl w:val="6C2648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41009B"/>
    <w:multiLevelType w:val="hybridMultilevel"/>
    <w:tmpl w:val="8466CD10"/>
    <w:lvl w:ilvl="0" w:tplc="A7D08A8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F4C0303"/>
    <w:multiLevelType w:val="hybridMultilevel"/>
    <w:tmpl w:val="D9A2A6E6"/>
    <w:lvl w:ilvl="0" w:tplc="54349EFC">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5" w15:restartNumberingAfterBreak="0">
    <w:nsid w:val="22D50CF5"/>
    <w:multiLevelType w:val="hybridMultilevel"/>
    <w:tmpl w:val="6BCE4B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AD5A90"/>
    <w:multiLevelType w:val="hybridMultilevel"/>
    <w:tmpl w:val="969C7B78"/>
    <w:lvl w:ilvl="0" w:tplc="1AAA6A2C">
      <w:start w:val="5"/>
      <w:numFmt w:val="bullet"/>
      <w:lvlText w:val="-"/>
      <w:lvlJc w:val="left"/>
      <w:pPr>
        <w:ind w:left="360" w:hanging="360"/>
      </w:pPr>
      <w:rPr>
        <w:rFonts w:ascii="Financier Display" w:eastAsiaTheme="minorEastAsia" w:hAnsi="Financier Display" w:cs="Times New Roman (Body C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EB5"/>
    <w:rsid w:val="000029D7"/>
    <w:rsid w:val="00004CC7"/>
    <w:rsid w:val="000167D1"/>
    <w:rsid w:val="00021665"/>
    <w:rsid w:val="000572D9"/>
    <w:rsid w:val="000604DE"/>
    <w:rsid w:val="00062D14"/>
    <w:rsid w:val="000A4D6E"/>
    <w:rsid w:val="000B5369"/>
    <w:rsid w:val="000C2EED"/>
    <w:rsid w:val="000C67FE"/>
    <w:rsid w:val="000F1553"/>
    <w:rsid w:val="00100352"/>
    <w:rsid w:val="001312C3"/>
    <w:rsid w:val="0015385D"/>
    <w:rsid w:val="00193800"/>
    <w:rsid w:val="001B36DC"/>
    <w:rsid w:val="00214F40"/>
    <w:rsid w:val="00220000"/>
    <w:rsid w:val="00224A9B"/>
    <w:rsid w:val="00253A87"/>
    <w:rsid w:val="002634AB"/>
    <w:rsid w:val="002747C9"/>
    <w:rsid w:val="002766C7"/>
    <w:rsid w:val="00285A5F"/>
    <w:rsid w:val="00293574"/>
    <w:rsid w:val="002D0188"/>
    <w:rsid w:val="0031189E"/>
    <w:rsid w:val="003443BC"/>
    <w:rsid w:val="00377F7E"/>
    <w:rsid w:val="00393775"/>
    <w:rsid w:val="003D784B"/>
    <w:rsid w:val="003F5304"/>
    <w:rsid w:val="00402A34"/>
    <w:rsid w:val="004177C8"/>
    <w:rsid w:val="00427D30"/>
    <w:rsid w:val="00450118"/>
    <w:rsid w:val="00467BCC"/>
    <w:rsid w:val="004860D8"/>
    <w:rsid w:val="00491E48"/>
    <w:rsid w:val="004A3FC9"/>
    <w:rsid w:val="004A6315"/>
    <w:rsid w:val="004B51A6"/>
    <w:rsid w:val="004C6800"/>
    <w:rsid w:val="004D4317"/>
    <w:rsid w:val="004D6AAA"/>
    <w:rsid w:val="004F3FE7"/>
    <w:rsid w:val="004F63E8"/>
    <w:rsid w:val="00501518"/>
    <w:rsid w:val="00551711"/>
    <w:rsid w:val="005657FC"/>
    <w:rsid w:val="00571FF1"/>
    <w:rsid w:val="005810D9"/>
    <w:rsid w:val="00593D5B"/>
    <w:rsid w:val="005A478A"/>
    <w:rsid w:val="005C511D"/>
    <w:rsid w:val="005E25A4"/>
    <w:rsid w:val="00603CBE"/>
    <w:rsid w:val="006059EF"/>
    <w:rsid w:val="006103C6"/>
    <w:rsid w:val="006205B6"/>
    <w:rsid w:val="00647858"/>
    <w:rsid w:val="00666F0B"/>
    <w:rsid w:val="0069012A"/>
    <w:rsid w:val="006A4E81"/>
    <w:rsid w:val="006D4F1C"/>
    <w:rsid w:val="006D53F4"/>
    <w:rsid w:val="00706D04"/>
    <w:rsid w:val="007249B3"/>
    <w:rsid w:val="00746941"/>
    <w:rsid w:val="00776030"/>
    <w:rsid w:val="00785810"/>
    <w:rsid w:val="00790DE0"/>
    <w:rsid w:val="007B050E"/>
    <w:rsid w:val="007C4AF4"/>
    <w:rsid w:val="00802616"/>
    <w:rsid w:val="00802E38"/>
    <w:rsid w:val="00831D24"/>
    <w:rsid w:val="00836C01"/>
    <w:rsid w:val="00866DB3"/>
    <w:rsid w:val="00895FC1"/>
    <w:rsid w:val="008A18F3"/>
    <w:rsid w:val="008A5FBD"/>
    <w:rsid w:val="008B11B3"/>
    <w:rsid w:val="008B48BC"/>
    <w:rsid w:val="008C6DBF"/>
    <w:rsid w:val="00901EB5"/>
    <w:rsid w:val="009451CF"/>
    <w:rsid w:val="00953421"/>
    <w:rsid w:val="0099366B"/>
    <w:rsid w:val="009A4B6B"/>
    <w:rsid w:val="009B45CC"/>
    <w:rsid w:val="009C3BE1"/>
    <w:rsid w:val="009E4B9B"/>
    <w:rsid w:val="00A02E3A"/>
    <w:rsid w:val="00A37077"/>
    <w:rsid w:val="00A64176"/>
    <w:rsid w:val="00A825B0"/>
    <w:rsid w:val="00A900DA"/>
    <w:rsid w:val="00AA2290"/>
    <w:rsid w:val="00AA4748"/>
    <w:rsid w:val="00AB63B2"/>
    <w:rsid w:val="00AC0E87"/>
    <w:rsid w:val="00AD49E8"/>
    <w:rsid w:val="00B16C6D"/>
    <w:rsid w:val="00B36FFF"/>
    <w:rsid w:val="00B40E7B"/>
    <w:rsid w:val="00B43994"/>
    <w:rsid w:val="00B638B8"/>
    <w:rsid w:val="00BA77F3"/>
    <w:rsid w:val="00BB5965"/>
    <w:rsid w:val="00BC6998"/>
    <w:rsid w:val="00BF2D36"/>
    <w:rsid w:val="00C07FA3"/>
    <w:rsid w:val="00C17573"/>
    <w:rsid w:val="00C26B91"/>
    <w:rsid w:val="00C26D51"/>
    <w:rsid w:val="00C31C96"/>
    <w:rsid w:val="00C32757"/>
    <w:rsid w:val="00C41EE7"/>
    <w:rsid w:val="00C45F4E"/>
    <w:rsid w:val="00C4672D"/>
    <w:rsid w:val="00C74465"/>
    <w:rsid w:val="00C90AE6"/>
    <w:rsid w:val="00CB4E1A"/>
    <w:rsid w:val="00CB4E36"/>
    <w:rsid w:val="00CE497A"/>
    <w:rsid w:val="00CE7A4F"/>
    <w:rsid w:val="00D15039"/>
    <w:rsid w:val="00D2477F"/>
    <w:rsid w:val="00D50915"/>
    <w:rsid w:val="00D57487"/>
    <w:rsid w:val="00D66805"/>
    <w:rsid w:val="00DE667F"/>
    <w:rsid w:val="00E044D8"/>
    <w:rsid w:val="00E403D5"/>
    <w:rsid w:val="00EF00D1"/>
    <w:rsid w:val="00EF0FD5"/>
    <w:rsid w:val="00EF3E0B"/>
    <w:rsid w:val="00EF5115"/>
    <w:rsid w:val="00F56B88"/>
    <w:rsid w:val="00F57C07"/>
    <w:rsid w:val="00F74377"/>
    <w:rsid w:val="00F852E4"/>
    <w:rsid w:val="00FE087C"/>
    <w:rsid w:val="00FE18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D5BCE"/>
  <w15:docId w15:val="{1AEE8D53-785F-4EA6-BD9A-8C713E9E0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312C3"/>
    <w:pPr>
      <w:keepNext/>
      <w:keepLines/>
      <w:spacing w:before="240"/>
      <w:outlineLvl w:val="0"/>
    </w:pPr>
    <w:rPr>
      <w:rFonts w:ascii="Financier Display Semibold" w:eastAsiaTheme="majorEastAsia" w:hAnsi="Financier Display Semibold" w:cstheme="majorBidi"/>
      <w:b/>
      <w:color w:val="000000" w:themeColor="text1"/>
      <w:sz w:val="36"/>
      <w:szCs w:val="32"/>
      <w:lang w:eastAsia="zh-CN"/>
    </w:rPr>
  </w:style>
  <w:style w:type="paragraph" w:styleId="Heading2">
    <w:name w:val="heading 2"/>
    <w:basedOn w:val="Normal"/>
    <w:next w:val="Normal"/>
    <w:link w:val="Heading2Char"/>
    <w:uiPriority w:val="9"/>
    <w:unhideWhenUsed/>
    <w:qFormat/>
    <w:rsid w:val="001312C3"/>
    <w:pPr>
      <w:keepNext/>
      <w:keepLines/>
      <w:spacing w:before="40"/>
      <w:outlineLvl w:val="1"/>
    </w:pPr>
    <w:rPr>
      <w:rFonts w:ascii="Financier Display Medium" w:eastAsiaTheme="majorEastAsia" w:hAnsi="Financier Display Medium" w:cstheme="majorBidi"/>
      <w:color w:val="000000" w:themeColor="text1"/>
      <w:sz w:val="32"/>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1C96"/>
    <w:pPr>
      <w:tabs>
        <w:tab w:val="center" w:pos="4680"/>
        <w:tab w:val="right" w:pos="9360"/>
      </w:tabs>
    </w:pPr>
  </w:style>
  <w:style w:type="character" w:customStyle="1" w:styleId="HeaderChar">
    <w:name w:val="Header Char"/>
    <w:basedOn w:val="DefaultParagraphFont"/>
    <w:link w:val="Header"/>
    <w:uiPriority w:val="99"/>
    <w:rsid w:val="00C31C96"/>
  </w:style>
  <w:style w:type="paragraph" w:styleId="Footer">
    <w:name w:val="footer"/>
    <w:basedOn w:val="Normal"/>
    <w:link w:val="FooterChar"/>
    <w:uiPriority w:val="99"/>
    <w:unhideWhenUsed/>
    <w:rsid w:val="00C31C96"/>
    <w:pPr>
      <w:tabs>
        <w:tab w:val="center" w:pos="4680"/>
        <w:tab w:val="right" w:pos="9360"/>
      </w:tabs>
    </w:pPr>
  </w:style>
  <w:style w:type="character" w:customStyle="1" w:styleId="FooterChar">
    <w:name w:val="Footer Char"/>
    <w:basedOn w:val="DefaultParagraphFont"/>
    <w:link w:val="Footer"/>
    <w:uiPriority w:val="99"/>
    <w:rsid w:val="00C31C96"/>
  </w:style>
  <w:style w:type="paragraph" w:styleId="ListParagraph">
    <w:name w:val="List Paragraph"/>
    <w:basedOn w:val="Normal"/>
    <w:uiPriority w:val="34"/>
    <w:qFormat/>
    <w:rsid w:val="004177C8"/>
    <w:pPr>
      <w:ind w:left="720"/>
      <w:contextualSpacing/>
    </w:pPr>
  </w:style>
  <w:style w:type="table" w:styleId="TableGrid">
    <w:name w:val="Table Grid"/>
    <w:basedOn w:val="TableNormal"/>
    <w:uiPriority w:val="39"/>
    <w:rsid w:val="004D6A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onospaced">
    <w:name w:val="monospaced"/>
    <w:basedOn w:val="DefaultParagraphFont"/>
    <w:rsid w:val="00B40E7B"/>
  </w:style>
  <w:style w:type="character" w:customStyle="1" w:styleId="Heading1Char">
    <w:name w:val="Heading 1 Char"/>
    <w:basedOn w:val="DefaultParagraphFont"/>
    <w:link w:val="Heading1"/>
    <w:uiPriority w:val="9"/>
    <w:rsid w:val="001312C3"/>
    <w:rPr>
      <w:rFonts w:ascii="Financier Display Semibold" w:eastAsiaTheme="majorEastAsia" w:hAnsi="Financier Display Semibold" w:cstheme="majorBidi"/>
      <w:b/>
      <w:color w:val="000000" w:themeColor="text1"/>
      <w:sz w:val="36"/>
      <w:szCs w:val="32"/>
      <w:lang w:eastAsia="zh-CN"/>
    </w:rPr>
  </w:style>
  <w:style w:type="character" w:customStyle="1" w:styleId="Heading2Char">
    <w:name w:val="Heading 2 Char"/>
    <w:basedOn w:val="DefaultParagraphFont"/>
    <w:link w:val="Heading2"/>
    <w:uiPriority w:val="9"/>
    <w:rsid w:val="001312C3"/>
    <w:rPr>
      <w:rFonts w:ascii="Financier Display Medium" w:eastAsiaTheme="majorEastAsia" w:hAnsi="Financier Display Medium" w:cstheme="majorBidi"/>
      <w:color w:val="000000" w:themeColor="text1"/>
      <w:sz w:val="32"/>
      <w:szCs w:val="26"/>
      <w:lang w:eastAsia="zh-CN"/>
    </w:rPr>
  </w:style>
  <w:style w:type="paragraph" w:styleId="FootnoteText">
    <w:name w:val="footnote text"/>
    <w:basedOn w:val="Normal"/>
    <w:link w:val="FootnoteTextChar"/>
    <w:uiPriority w:val="99"/>
    <w:semiHidden/>
    <w:unhideWhenUsed/>
    <w:rsid w:val="001312C3"/>
    <w:rPr>
      <w:rFonts w:ascii="Financier Display" w:hAnsi="Financier Display" w:cs="Times New Roman (Body CS)"/>
      <w:sz w:val="20"/>
      <w:szCs w:val="20"/>
      <w:lang w:eastAsia="zh-CN"/>
    </w:rPr>
  </w:style>
  <w:style w:type="character" w:customStyle="1" w:styleId="FootnoteTextChar">
    <w:name w:val="Footnote Text Char"/>
    <w:basedOn w:val="DefaultParagraphFont"/>
    <w:link w:val="FootnoteText"/>
    <w:uiPriority w:val="99"/>
    <w:semiHidden/>
    <w:rsid w:val="001312C3"/>
    <w:rPr>
      <w:rFonts w:ascii="Financier Display" w:hAnsi="Financier Display" w:cs="Times New Roman (Body CS)"/>
      <w:sz w:val="20"/>
      <w:szCs w:val="20"/>
      <w:lang w:eastAsia="zh-CN"/>
    </w:rPr>
  </w:style>
  <w:style w:type="character" w:styleId="FootnoteReference">
    <w:name w:val="footnote reference"/>
    <w:basedOn w:val="DefaultParagraphFont"/>
    <w:uiPriority w:val="99"/>
    <w:semiHidden/>
    <w:unhideWhenUsed/>
    <w:rsid w:val="001312C3"/>
    <w:rPr>
      <w:vertAlign w:val="superscript"/>
    </w:rPr>
  </w:style>
  <w:style w:type="character" w:styleId="PageNumber">
    <w:name w:val="page number"/>
    <w:basedOn w:val="DefaultParagraphFont"/>
    <w:uiPriority w:val="99"/>
    <w:semiHidden/>
    <w:unhideWhenUsed/>
    <w:rsid w:val="00402A34"/>
  </w:style>
  <w:style w:type="paragraph" w:styleId="Revision">
    <w:name w:val="Revision"/>
    <w:hidden/>
    <w:uiPriority w:val="99"/>
    <w:semiHidden/>
    <w:rsid w:val="00BB5965"/>
  </w:style>
  <w:style w:type="paragraph" w:styleId="BalloonText">
    <w:name w:val="Balloon Text"/>
    <w:basedOn w:val="Normal"/>
    <w:link w:val="BalloonTextChar"/>
    <w:uiPriority w:val="99"/>
    <w:semiHidden/>
    <w:unhideWhenUsed/>
    <w:rsid w:val="00C26B91"/>
    <w:rPr>
      <w:rFonts w:ascii="Tahoma" w:hAnsi="Tahoma" w:cs="Tahoma"/>
      <w:sz w:val="16"/>
      <w:szCs w:val="16"/>
    </w:rPr>
  </w:style>
  <w:style w:type="character" w:customStyle="1" w:styleId="BalloonTextChar">
    <w:name w:val="Balloon Text Char"/>
    <w:basedOn w:val="DefaultParagraphFont"/>
    <w:link w:val="BalloonText"/>
    <w:uiPriority w:val="99"/>
    <w:semiHidden/>
    <w:rsid w:val="00C26B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4882640">
      <w:bodyDiv w:val="1"/>
      <w:marLeft w:val="0"/>
      <w:marRight w:val="0"/>
      <w:marTop w:val="0"/>
      <w:marBottom w:val="0"/>
      <w:divBdr>
        <w:top w:val="none" w:sz="0" w:space="0" w:color="auto"/>
        <w:left w:val="none" w:sz="0" w:space="0" w:color="auto"/>
        <w:bottom w:val="none" w:sz="0" w:space="0" w:color="auto"/>
        <w:right w:val="none" w:sz="0" w:space="0" w:color="auto"/>
      </w:divBdr>
    </w:div>
    <w:div w:id="14438420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18" Type="http://schemas.openxmlformats.org/officeDocument/2006/relationships/chart" Target="charts/chart7.xml"/><Relationship Id="rId3" Type="http://schemas.openxmlformats.org/officeDocument/2006/relationships/styles" Target="styles.xml"/><Relationship Id="rId21" Type="http://schemas.openxmlformats.org/officeDocument/2006/relationships/image" Target="media/image3.emf"/><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chart" Target="charts/chart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4.xml"/><Relationship Id="rId22" Type="http://schemas.openxmlformats.org/officeDocument/2006/relationships/image" Target="media/image4.png"/></Relationships>
</file>

<file path=word/charts/_rels/chart1.xml.rels><?xml version="1.0" encoding="UTF-8" standalone="yes"?>
<Relationships xmlns="http://schemas.openxmlformats.org/package/2006/relationships"><Relationship Id="rId1" Type="http://schemas.openxmlformats.org/officeDocument/2006/relationships/oleObject" Target="Book3"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3"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3"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Book3"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Book3"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Book3"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Book3"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Book3"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Book3"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Top</a:t>
            </a:r>
            <a:r>
              <a:rPr lang="en-GB" baseline="0"/>
              <a:t> 5 Tenants</a:t>
            </a:r>
            <a:endParaRPr lang="en-GB"/>
          </a:p>
        </c:rich>
      </c:tx>
      <c:overlay val="0"/>
      <c:spPr>
        <a:noFill/>
        <a:ln>
          <a:noFill/>
        </a:ln>
        <a:effectLst/>
      </c:spPr>
    </c:title>
    <c:autoTitleDeleted val="0"/>
    <c:plotArea>
      <c:layout/>
      <c:barChart>
        <c:barDir val="col"/>
        <c:grouping val="clustered"/>
        <c:varyColors val="0"/>
        <c:ser>
          <c:idx val="0"/>
          <c:order val="0"/>
          <c:spPr>
            <a:solidFill>
              <a:srgbClr val="7030A0"/>
            </a:solidFill>
            <a:ln>
              <a:noFill/>
            </a:ln>
            <a:effectLst/>
          </c:spPr>
          <c:invertIfNegative val="0"/>
          <c:cat>
            <c:strRef>
              <c:f>Sheet1!$H$69:$L$69</c:f>
              <c:strCache>
                <c:ptCount val="5"/>
                <c:pt idx="0">
                  <c:v>XPO</c:v>
                </c:pt>
                <c:pt idx="1">
                  <c:v>Unipart</c:v>
                </c:pt>
                <c:pt idx="2">
                  <c:v>DHL</c:v>
                </c:pt>
                <c:pt idx="3">
                  <c:v>Your Farmer Produce</c:v>
                </c:pt>
                <c:pt idx="4">
                  <c:v>Culina Logistics</c:v>
                </c:pt>
              </c:strCache>
            </c:strRef>
          </c:cat>
          <c:val>
            <c:numRef>
              <c:f>Sheet1!$H$70:$L$70</c:f>
              <c:numCache>
                <c:formatCode>0%</c:formatCode>
                <c:ptCount val="5"/>
                <c:pt idx="0">
                  <c:v>0.11</c:v>
                </c:pt>
                <c:pt idx="1">
                  <c:v>0.1</c:v>
                </c:pt>
                <c:pt idx="2">
                  <c:v>0.09</c:v>
                </c:pt>
                <c:pt idx="3">
                  <c:v>0.09</c:v>
                </c:pt>
                <c:pt idx="4">
                  <c:v>0.08</c:v>
                </c:pt>
              </c:numCache>
            </c:numRef>
          </c:val>
          <c:extLst>
            <c:ext xmlns:c16="http://schemas.microsoft.com/office/drawing/2014/chart" uri="{C3380CC4-5D6E-409C-BE32-E72D297353CC}">
              <c16:uniqueId val="{00000000-CF87-0443-AB41-CAEAB814E4B7}"/>
            </c:ext>
          </c:extLst>
        </c:ser>
        <c:dLbls>
          <c:showLegendKey val="0"/>
          <c:showVal val="0"/>
          <c:showCatName val="0"/>
          <c:showSerName val="0"/>
          <c:showPercent val="0"/>
          <c:showBubbleSize val="0"/>
        </c:dLbls>
        <c:gapWidth val="219"/>
        <c:overlap val="-27"/>
        <c:axId val="227704832"/>
        <c:axId val="227706368"/>
      </c:barChart>
      <c:catAx>
        <c:axId val="227704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7706368"/>
        <c:crosses val="autoZero"/>
        <c:auto val="1"/>
        <c:lblAlgn val="ctr"/>
        <c:lblOffset val="100"/>
        <c:noMultiLvlLbl val="0"/>
      </c:catAx>
      <c:valAx>
        <c:axId val="22770636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770483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Administrative</a:t>
            </a:r>
            <a:r>
              <a:rPr lang="en-GB" baseline="0"/>
              <a:t> costs to Total Revenue</a:t>
            </a:r>
            <a:endParaRPr lang="en-GB"/>
          </a:p>
        </c:rich>
      </c:tx>
      <c:overlay val="0"/>
      <c:spPr>
        <a:noFill/>
        <a:ln>
          <a:noFill/>
        </a:ln>
        <a:effectLst/>
      </c:spPr>
    </c:title>
    <c:autoTitleDeleted val="0"/>
    <c:plotArea>
      <c:layout/>
      <c:barChart>
        <c:barDir val="col"/>
        <c:grouping val="clustered"/>
        <c:varyColors val="0"/>
        <c:ser>
          <c:idx val="0"/>
          <c:order val="0"/>
          <c:spPr>
            <a:solidFill>
              <a:srgbClr val="7030A0"/>
            </a:solidFill>
            <a:ln>
              <a:noFill/>
            </a:ln>
            <a:effectLst/>
          </c:spPr>
          <c:invertIfNegative val="0"/>
          <c:cat>
            <c:strRef>
              <c:f>Sheet1!$C$78:$F$78</c:f>
              <c:strCache>
                <c:ptCount val="4"/>
                <c:pt idx="0">
                  <c:v>2017</c:v>
                </c:pt>
                <c:pt idx="1">
                  <c:v>2018</c:v>
                </c:pt>
                <c:pt idx="2">
                  <c:v>2019</c:v>
                </c:pt>
                <c:pt idx="3">
                  <c:v>2020 (HY)</c:v>
                </c:pt>
              </c:strCache>
            </c:strRef>
          </c:cat>
          <c:val>
            <c:numRef>
              <c:f>Sheet1!$C$79:$F$79</c:f>
              <c:numCache>
                <c:formatCode>0.00%</c:formatCode>
                <c:ptCount val="4"/>
                <c:pt idx="0">
                  <c:v>0.219</c:v>
                </c:pt>
                <c:pt idx="1">
                  <c:v>0.193</c:v>
                </c:pt>
                <c:pt idx="2">
                  <c:v>0.17</c:v>
                </c:pt>
                <c:pt idx="3">
                  <c:v>0.17899999999999999</c:v>
                </c:pt>
              </c:numCache>
            </c:numRef>
          </c:val>
          <c:extLst>
            <c:ext xmlns:c16="http://schemas.microsoft.com/office/drawing/2014/chart" uri="{C3380CC4-5D6E-409C-BE32-E72D297353CC}">
              <c16:uniqueId val="{00000000-111E-DD4E-9552-1013CC3D69D6}"/>
            </c:ext>
          </c:extLst>
        </c:ser>
        <c:dLbls>
          <c:showLegendKey val="0"/>
          <c:showVal val="0"/>
          <c:showCatName val="0"/>
          <c:showSerName val="0"/>
          <c:showPercent val="0"/>
          <c:showBubbleSize val="0"/>
        </c:dLbls>
        <c:gapWidth val="219"/>
        <c:overlap val="-27"/>
        <c:axId val="227726848"/>
        <c:axId val="227728384"/>
      </c:barChart>
      <c:catAx>
        <c:axId val="227726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7728384"/>
        <c:crosses val="autoZero"/>
        <c:auto val="1"/>
        <c:lblAlgn val="ctr"/>
        <c:lblOffset val="100"/>
        <c:noMultiLvlLbl val="0"/>
      </c:catAx>
      <c:valAx>
        <c:axId val="22772838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772684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Net</a:t>
            </a:r>
            <a:r>
              <a:rPr lang="en-GB" baseline="0"/>
              <a:t> Profit Margin</a:t>
            </a:r>
            <a:endParaRPr lang="en-GB"/>
          </a:p>
        </c:rich>
      </c:tx>
      <c:overlay val="0"/>
      <c:spPr>
        <a:noFill/>
        <a:ln>
          <a:noFill/>
        </a:ln>
        <a:effectLst/>
      </c:spPr>
    </c:title>
    <c:autoTitleDeleted val="0"/>
    <c:plotArea>
      <c:layout/>
      <c:barChart>
        <c:barDir val="col"/>
        <c:grouping val="clustered"/>
        <c:varyColors val="0"/>
        <c:ser>
          <c:idx val="0"/>
          <c:order val="0"/>
          <c:spPr>
            <a:solidFill>
              <a:srgbClr val="7030A0"/>
            </a:solidFill>
            <a:ln>
              <a:noFill/>
            </a:ln>
            <a:effectLst/>
          </c:spPr>
          <c:invertIfNegative val="0"/>
          <c:cat>
            <c:strRef>
              <c:f>Sheet1!$B$47:$E$47</c:f>
              <c:strCache>
                <c:ptCount val="4"/>
                <c:pt idx="0">
                  <c:v>2017</c:v>
                </c:pt>
                <c:pt idx="1">
                  <c:v>2018</c:v>
                </c:pt>
                <c:pt idx="2">
                  <c:v>2019</c:v>
                </c:pt>
                <c:pt idx="3">
                  <c:v>2020 (HY)</c:v>
                </c:pt>
              </c:strCache>
            </c:strRef>
          </c:cat>
          <c:val>
            <c:numRef>
              <c:f>Sheet1!$B$48:$E$48</c:f>
              <c:numCache>
                <c:formatCode>0.00%</c:formatCode>
                <c:ptCount val="4"/>
                <c:pt idx="0">
                  <c:v>0.49099999999999999</c:v>
                </c:pt>
                <c:pt idx="1">
                  <c:v>0.44500000000000001</c:v>
                </c:pt>
                <c:pt idx="2">
                  <c:v>0.54900000000000004</c:v>
                </c:pt>
                <c:pt idx="3">
                  <c:v>0.58599999999999997</c:v>
                </c:pt>
              </c:numCache>
            </c:numRef>
          </c:val>
          <c:extLst>
            <c:ext xmlns:c16="http://schemas.microsoft.com/office/drawing/2014/chart" uri="{C3380CC4-5D6E-409C-BE32-E72D297353CC}">
              <c16:uniqueId val="{00000000-2620-C647-AD01-B2409DB8C54E}"/>
            </c:ext>
          </c:extLst>
        </c:ser>
        <c:dLbls>
          <c:showLegendKey val="0"/>
          <c:showVal val="0"/>
          <c:showCatName val="0"/>
          <c:showSerName val="0"/>
          <c:showPercent val="0"/>
          <c:showBubbleSize val="0"/>
        </c:dLbls>
        <c:gapWidth val="219"/>
        <c:overlap val="-27"/>
        <c:axId val="242945408"/>
        <c:axId val="242951296"/>
      </c:barChart>
      <c:catAx>
        <c:axId val="2429454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2951296"/>
        <c:crosses val="autoZero"/>
        <c:auto val="1"/>
        <c:lblAlgn val="ctr"/>
        <c:lblOffset val="100"/>
        <c:noMultiLvlLbl val="0"/>
      </c:catAx>
      <c:valAx>
        <c:axId val="24295129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294540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Loan</a:t>
            </a:r>
            <a:r>
              <a:rPr lang="en-GB" baseline="0"/>
              <a:t> to Value</a:t>
            </a:r>
            <a:endParaRPr lang="en-GB"/>
          </a:p>
        </c:rich>
      </c:tx>
      <c:overlay val="0"/>
      <c:spPr>
        <a:noFill/>
        <a:ln>
          <a:noFill/>
        </a:ln>
        <a:effectLst/>
      </c:spPr>
    </c:title>
    <c:autoTitleDeleted val="0"/>
    <c:plotArea>
      <c:layout/>
      <c:lineChart>
        <c:grouping val="standard"/>
        <c:varyColors val="0"/>
        <c:ser>
          <c:idx val="0"/>
          <c:order val="0"/>
          <c:spPr>
            <a:ln w="28575" cap="rnd">
              <a:solidFill>
                <a:srgbClr val="7030A0"/>
              </a:solidFill>
              <a:round/>
            </a:ln>
            <a:effectLst/>
          </c:spPr>
          <c:marker>
            <c:symbol val="none"/>
          </c:marker>
          <c:cat>
            <c:strRef>
              <c:f>Sheet1!$B$17:$E$17</c:f>
              <c:strCache>
                <c:ptCount val="4"/>
                <c:pt idx="0">
                  <c:v>2017</c:v>
                </c:pt>
                <c:pt idx="1">
                  <c:v>2018</c:v>
                </c:pt>
                <c:pt idx="2">
                  <c:v>2019</c:v>
                </c:pt>
                <c:pt idx="3">
                  <c:v>2020 (HY)</c:v>
                </c:pt>
              </c:strCache>
            </c:strRef>
          </c:cat>
          <c:val>
            <c:numRef>
              <c:f>Sheet1!$B$18:$E$18</c:f>
              <c:numCache>
                <c:formatCode>0.00%</c:formatCode>
                <c:ptCount val="4"/>
                <c:pt idx="0">
                  <c:v>0.42399999999999999</c:v>
                </c:pt>
                <c:pt idx="1">
                  <c:v>0.36899999999999999</c:v>
                </c:pt>
                <c:pt idx="2">
                  <c:v>0.33700000000000002</c:v>
                </c:pt>
                <c:pt idx="3">
                  <c:v>0.34100000000000003</c:v>
                </c:pt>
              </c:numCache>
            </c:numRef>
          </c:val>
          <c:smooth val="0"/>
          <c:extLst>
            <c:ext xmlns:c16="http://schemas.microsoft.com/office/drawing/2014/chart" uri="{C3380CC4-5D6E-409C-BE32-E72D297353CC}">
              <c16:uniqueId val="{00000000-36E0-414F-84FB-27C20D756DC9}"/>
            </c:ext>
          </c:extLst>
        </c:ser>
        <c:dLbls>
          <c:showLegendKey val="0"/>
          <c:showVal val="0"/>
          <c:showCatName val="0"/>
          <c:showSerName val="0"/>
          <c:showPercent val="0"/>
          <c:showBubbleSize val="0"/>
        </c:dLbls>
        <c:smooth val="0"/>
        <c:axId val="242980352"/>
        <c:axId val="242981888"/>
      </c:lineChart>
      <c:catAx>
        <c:axId val="2429803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2981888"/>
        <c:crosses val="autoZero"/>
        <c:auto val="1"/>
        <c:lblAlgn val="ctr"/>
        <c:lblOffset val="100"/>
        <c:noMultiLvlLbl val="0"/>
      </c:catAx>
      <c:valAx>
        <c:axId val="242981888"/>
        <c:scaling>
          <c:orientation val="minMax"/>
          <c:min val="0.30000000000000004"/>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298035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Debt Coverage</a:t>
            </a:r>
          </a:p>
        </c:rich>
      </c:tx>
      <c:overlay val="0"/>
      <c:spPr>
        <a:noFill/>
        <a:ln>
          <a:noFill/>
        </a:ln>
        <a:effectLst/>
      </c:spPr>
    </c:title>
    <c:autoTitleDeleted val="0"/>
    <c:plotArea>
      <c:layout/>
      <c:barChart>
        <c:barDir val="col"/>
        <c:grouping val="clustered"/>
        <c:varyColors val="0"/>
        <c:ser>
          <c:idx val="0"/>
          <c:order val="0"/>
          <c:spPr>
            <a:solidFill>
              <a:srgbClr val="7030A0"/>
            </a:solidFill>
            <a:ln>
              <a:noFill/>
            </a:ln>
            <a:effectLst/>
          </c:spPr>
          <c:invertIfNegative val="0"/>
          <c:cat>
            <c:strRef>
              <c:f>Sheet1!$H$3:$K$3</c:f>
              <c:strCache>
                <c:ptCount val="4"/>
                <c:pt idx="0">
                  <c:v>2017</c:v>
                </c:pt>
                <c:pt idx="1">
                  <c:v>2018</c:v>
                </c:pt>
                <c:pt idx="2">
                  <c:v>2019</c:v>
                </c:pt>
                <c:pt idx="3">
                  <c:v>2020 (HY)</c:v>
                </c:pt>
              </c:strCache>
            </c:strRef>
          </c:cat>
          <c:val>
            <c:numRef>
              <c:f>Sheet1!$H$4:$K$4</c:f>
              <c:numCache>
                <c:formatCode>0%</c:formatCode>
                <c:ptCount val="4"/>
                <c:pt idx="0">
                  <c:v>2.87</c:v>
                </c:pt>
                <c:pt idx="1">
                  <c:v>3.67</c:v>
                </c:pt>
                <c:pt idx="2">
                  <c:v>3.68</c:v>
                </c:pt>
                <c:pt idx="3">
                  <c:v>3.7</c:v>
                </c:pt>
              </c:numCache>
            </c:numRef>
          </c:val>
          <c:extLst>
            <c:ext xmlns:c16="http://schemas.microsoft.com/office/drawing/2014/chart" uri="{C3380CC4-5D6E-409C-BE32-E72D297353CC}">
              <c16:uniqueId val="{00000000-A434-A24C-9A39-34090981A901}"/>
            </c:ext>
          </c:extLst>
        </c:ser>
        <c:dLbls>
          <c:showLegendKey val="0"/>
          <c:showVal val="0"/>
          <c:showCatName val="0"/>
          <c:showSerName val="0"/>
          <c:showPercent val="0"/>
          <c:showBubbleSize val="0"/>
        </c:dLbls>
        <c:gapWidth val="150"/>
        <c:axId val="242998656"/>
        <c:axId val="252056704"/>
      </c:barChart>
      <c:catAx>
        <c:axId val="242998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2056704"/>
        <c:crosses val="autoZero"/>
        <c:auto val="1"/>
        <c:lblAlgn val="ctr"/>
        <c:lblOffset val="100"/>
        <c:noMultiLvlLbl val="0"/>
      </c:catAx>
      <c:valAx>
        <c:axId val="25205670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299865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Margin</a:t>
            </a:r>
            <a:r>
              <a:rPr lang="en-GB" baseline="0"/>
              <a:t> of Safety</a:t>
            </a:r>
            <a:endParaRPr lang="en-GB"/>
          </a:p>
        </c:rich>
      </c:tx>
      <c:overlay val="0"/>
      <c:spPr>
        <a:noFill/>
        <a:ln>
          <a:noFill/>
        </a:ln>
        <a:effectLst/>
      </c:spPr>
    </c:title>
    <c:autoTitleDeleted val="0"/>
    <c:plotArea>
      <c:layout/>
      <c:barChart>
        <c:barDir val="col"/>
        <c:grouping val="clustered"/>
        <c:varyColors val="0"/>
        <c:ser>
          <c:idx val="0"/>
          <c:order val="0"/>
          <c:spPr>
            <a:solidFill>
              <a:srgbClr val="7030A0"/>
            </a:solidFill>
            <a:ln>
              <a:noFill/>
            </a:ln>
            <a:effectLst/>
          </c:spPr>
          <c:invertIfNegative val="0"/>
          <c:cat>
            <c:strRef>
              <c:f>Sheet1!$J$81:$N$81</c:f>
              <c:strCache>
                <c:ptCount val="5"/>
                <c:pt idx="0">
                  <c:v>Super Bear</c:v>
                </c:pt>
                <c:pt idx="1">
                  <c:v>Bear</c:v>
                </c:pt>
                <c:pt idx="2">
                  <c:v>Base</c:v>
                </c:pt>
                <c:pt idx="3">
                  <c:v>Bull</c:v>
                </c:pt>
                <c:pt idx="4">
                  <c:v>Super Bull</c:v>
                </c:pt>
              </c:strCache>
            </c:strRef>
          </c:cat>
          <c:val>
            <c:numRef>
              <c:f>Sheet1!$J$82:$N$82</c:f>
              <c:numCache>
                <c:formatCode>0%</c:formatCode>
                <c:ptCount val="5"/>
                <c:pt idx="0">
                  <c:v>-0.28000000000000003</c:v>
                </c:pt>
                <c:pt idx="1">
                  <c:v>-0.04</c:v>
                </c:pt>
                <c:pt idx="2">
                  <c:v>0.44</c:v>
                </c:pt>
                <c:pt idx="3">
                  <c:v>1</c:v>
                </c:pt>
                <c:pt idx="4">
                  <c:v>1.5</c:v>
                </c:pt>
              </c:numCache>
            </c:numRef>
          </c:val>
          <c:extLst>
            <c:ext xmlns:c16="http://schemas.microsoft.com/office/drawing/2014/chart" uri="{C3380CC4-5D6E-409C-BE32-E72D297353CC}">
              <c16:uniqueId val="{00000000-8522-914C-B443-36B242AE1585}"/>
            </c:ext>
          </c:extLst>
        </c:ser>
        <c:dLbls>
          <c:showLegendKey val="0"/>
          <c:showVal val="0"/>
          <c:showCatName val="0"/>
          <c:showSerName val="0"/>
          <c:showPercent val="0"/>
          <c:showBubbleSize val="0"/>
        </c:dLbls>
        <c:gapWidth val="219"/>
        <c:overlap val="-27"/>
        <c:axId val="252077568"/>
        <c:axId val="252079104"/>
      </c:barChart>
      <c:catAx>
        <c:axId val="2520775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52079104"/>
        <c:crosses val="autoZero"/>
        <c:auto val="1"/>
        <c:lblAlgn val="ctr"/>
        <c:lblOffset val="100"/>
        <c:noMultiLvlLbl val="0"/>
      </c:catAx>
      <c:valAx>
        <c:axId val="25207910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207756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Total</a:t>
            </a:r>
            <a:r>
              <a:rPr lang="en-GB" baseline="0"/>
              <a:t> Long Term Debt </a:t>
            </a:r>
            <a:endParaRPr lang="en-GB"/>
          </a:p>
        </c:rich>
      </c:tx>
      <c:overlay val="0"/>
      <c:spPr>
        <a:noFill/>
        <a:ln>
          <a:noFill/>
        </a:ln>
        <a:effectLst/>
      </c:spPr>
    </c:title>
    <c:autoTitleDeleted val="0"/>
    <c:plotArea>
      <c:layout/>
      <c:barChart>
        <c:barDir val="col"/>
        <c:grouping val="clustered"/>
        <c:varyColors val="0"/>
        <c:ser>
          <c:idx val="0"/>
          <c:order val="0"/>
          <c:spPr>
            <a:solidFill>
              <a:srgbClr val="7030A0"/>
            </a:solidFill>
            <a:ln>
              <a:noFill/>
            </a:ln>
            <a:effectLst/>
          </c:spPr>
          <c:invertIfNegative val="0"/>
          <c:cat>
            <c:strRef>
              <c:f>Sheet1!$B$11:$E$11</c:f>
              <c:strCache>
                <c:ptCount val="4"/>
                <c:pt idx="0">
                  <c:v>2017</c:v>
                </c:pt>
                <c:pt idx="1">
                  <c:v>2018</c:v>
                </c:pt>
                <c:pt idx="2">
                  <c:v>2019</c:v>
                </c:pt>
                <c:pt idx="3">
                  <c:v>2020 (HY)</c:v>
                </c:pt>
              </c:strCache>
            </c:strRef>
          </c:cat>
          <c:val>
            <c:numRef>
              <c:f>Sheet1!$B$12:$E$12</c:f>
              <c:numCache>
                <c:formatCode>General</c:formatCode>
                <c:ptCount val="4"/>
                <c:pt idx="0">
                  <c:v>18.311</c:v>
                </c:pt>
                <c:pt idx="1">
                  <c:v>47.671999999999997</c:v>
                </c:pt>
                <c:pt idx="2">
                  <c:v>72.11</c:v>
                </c:pt>
                <c:pt idx="3">
                  <c:v>77.688999999999993</c:v>
                </c:pt>
              </c:numCache>
            </c:numRef>
          </c:val>
          <c:extLst>
            <c:ext xmlns:c16="http://schemas.microsoft.com/office/drawing/2014/chart" uri="{C3380CC4-5D6E-409C-BE32-E72D297353CC}">
              <c16:uniqueId val="{00000000-D6BC-BC4F-9228-E4C2281B6095}"/>
            </c:ext>
          </c:extLst>
        </c:ser>
        <c:dLbls>
          <c:showLegendKey val="0"/>
          <c:showVal val="0"/>
          <c:showCatName val="0"/>
          <c:showSerName val="0"/>
          <c:showPercent val="0"/>
          <c:showBubbleSize val="0"/>
        </c:dLbls>
        <c:gapWidth val="219"/>
        <c:overlap val="-27"/>
        <c:axId val="252116352"/>
        <c:axId val="259789952"/>
      </c:barChart>
      <c:catAx>
        <c:axId val="2521163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9789952"/>
        <c:crosses val="autoZero"/>
        <c:auto val="1"/>
        <c:lblAlgn val="ctr"/>
        <c:lblOffset val="100"/>
        <c:noMultiLvlLbl val="0"/>
      </c:catAx>
      <c:valAx>
        <c:axId val="2597899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211635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WAULT</a:t>
            </a:r>
          </a:p>
        </c:rich>
      </c:tx>
      <c:overlay val="0"/>
      <c:spPr>
        <a:noFill/>
        <a:ln>
          <a:noFill/>
        </a:ln>
        <a:effectLst/>
      </c:spPr>
    </c:title>
    <c:autoTitleDeleted val="0"/>
    <c:plotArea>
      <c:layout/>
      <c:lineChart>
        <c:grouping val="standard"/>
        <c:varyColors val="0"/>
        <c:ser>
          <c:idx val="0"/>
          <c:order val="0"/>
          <c:spPr>
            <a:ln w="28575" cap="rnd">
              <a:solidFill>
                <a:srgbClr val="7030A0"/>
              </a:solidFill>
              <a:round/>
            </a:ln>
            <a:effectLst/>
          </c:spPr>
          <c:marker>
            <c:symbol val="none"/>
          </c:marker>
          <c:cat>
            <c:strRef>
              <c:f>Sheet1!$C$64:$F$64</c:f>
              <c:strCache>
                <c:ptCount val="4"/>
                <c:pt idx="0">
                  <c:v>2017</c:v>
                </c:pt>
                <c:pt idx="1">
                  <c:v>2018</c:v>
                </c:pt>
                <c:pt idx="2">
                  <c:v>2019</c:v>
                </c:pt>
                <c:pt idx="3">
                  <c:v>2020 (HY)</c:v>
                </c:pt>
              </c:strCache>
            </c:strRef>
          </c:cat>
          <c:val>
            <c:numRef>
              <c:f>Sheet1!$C$65:$F$65</c:f>
              <c:numCache>
                <c:formatCode>General</c:formatCode>
                <c:ptCount val="4"/>
                <c:pt idx="0">
                  <c:v>4.4000000000000004</c:v>
                </c:pt>
                <c:pt idx="1">
                  <c:v>5</c:v>
                </c:pt>
                <c:pt idx="2">
                  <c:v>5.5</c:v>
                </c:pt>
                <c:pt idx="3">
                  <c:v>6.1</c:v>
                </c:pt>
              </c:numCache>
            </c:numRef>
          </c:val>
          <c:smooth val="0"/>
          <c:extLst>
            <c:ext xmlns:c16="http://schemas.microsoft.com/office/drawing/2014/chart" uri="{C3380CC4-5D6E-409C-BE32-E72D297353CC}">
              <c16:uniqueId val="{00000000-8D58-7D4A-B5DE-16C96E9D1940}"/>
            </c:ext>
          </c:extLst>
        </c:ser>
        <c:dLbls>
          <c:showLegendKey val="0"/>
          <c:showVal val="0"/>
          <c:showCatName val="0"/>
          <c:showSerName val="0"/>
          <c:showPercent val="0"/>
          <c:showBubbleSize val="0"/>
        </c:dLbls>
        <c:smooth val="0"/>
        <c:axId val="259819008"/>
        <c:axId val="259820544"/>
      </c:lineChart>
      <c:catAx>
        <c:axId val="2598190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9820544"/>
        <c:crosses val="autoZero"/>
        <c:auto val="1"/>
        <c:lblAlgn val="ctr"/>
        <c:lblOffset val="100"/>
        <c:noMultiLvlLbl val="0"/>
      </c:catAx>
      <c:valAx>
        <c:axId val="2598205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981900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Tenant Credit Risk</a:t>
            </a:r>
          </a:p>
        </c:rich>
      </c:tx>
      <c:overlay val="0"/>
      <c:spPr>
        <a:noFill/>
        <a:ln>
          <a:noFill/>
        </a:ln>
        <a:effectLst/>
      </c:spPr>
    </c:title>
    <c:autoTitleDeleted val="0"/>
    <c:plotArea>
      <c:layout/>
      <c:pieChart>
        <c:varyColors val="1"/>
        <c:ser>
          <c:idx val="0"/>
          <c:order val="0"/>
          <c:dPt>
            <c:idx val="0"/>
            <c:bubble3D val="0"/>
            <c:spPr>
              <a:solidFill>
                <a:srgbClr val="7030A0"/>
              </a:solidFill>
              <a:ln w="19050">
                <a:solidFill>
                  <a:schemeClr val="lt1"/>
                </a:solidFill>
              </a:ln>
              <a:effectLst/>
            </c:spPr>
            <c:extLst>
              <c:ext xmlns:c16="http://schemas.microsoft.com/office/drawing/2014/chart" uri="{C3380CC4-5D6E-409C-BE32-E72D297353CC}">
                <c16:uniqueId val="{00000001-ECD6-6647-B22F-B583EA7510CC}"/>
              </c:ext>
            </c:extLst>
          </c:dPt>
          <c:dPt>
            <c:idx val="1"/>
            <c:bubble3D val="0"/>
            <c:spPr>
              <a:solidFill>
                <a:srgbClr val="0070C0"/>
              </a:solidFill>
              <a:ln w="19050">
                <a:solidFill>
                  <a:schemeClr val="lt1"/>
                </a:solidFill>
              </a:ln>
              <a:effectLst/>
            </c:spPr>
            <c:extLst>
              <c:ext xmlns:c16="http://schemas.microsoft.com/office/drawing/2014/chart" uri="{C3380CC4-5D6E-409C-BE32-E72D297353CC}">
                <c16:uniqueId val="{00000003-ECD6-6647-B22F-B583EA7510CC}"/>
              </c:ext>
            </c:extLst>
          </c:dPt>
          <c:dPt>
            <c:idx val="2"/>
            <c:bubble3D val="0"/>
            <c:spPr>
              <a:solidFill>
                <a:srgbClr val="002060"/>
              </a:solidFill>
              <a:ln w="19050">
                <a:solidFill>
                  <a:schemeClr val="lt1"/>
                </a:solidFill>
              </a:ln>
              <a:effectLst/>
            </c:spPr>
            <c:extLst>
              <c:ext xmlns:c16="http://schemas.microsoft.com/office/drawing/2014/chart" uri="{C3380CC4-5D6E-409C-BE32-E72D297353CC}">
                <c16:uniqueId val="{00000005-ECD6-6647-B22F-B583EA7510CC}"/>
              </c:ext>
            </c:extLst>
          </c:dPt>
          <c:dLbls>
            <c:dLbl>
              <c:idx val="1"/>
              <c:delete val="1"/>
              <c:extLst>
                <c:ext xmlns:c15="http://schemas.microsoft.com/office/drawing/2012/chart" uri="{CE6537A1-D6FC-4f65-9D91-7224C49458BB}"/>
                <c:ext xmlns:c16="http://schemas.microsoft.com/office/drawing/2014/chart" uri="{C3380CC4-5D6E-409C-BE32-E72D297353CC}">
                  <c16:uniqueId val="{00000003-ECD6-6647-B22F-B583EA7510CC}"/>
                </c:ext>
              </c:extLst>
            </c:dLbl>
            <c:dLbl>
              <c:idx val="2"/>
              <c:delete val="1"/>
              <c:extLst>
                <c:ext xmlns:c15="http://schemas.microsoft.com/office/drawing/2012/chart" uri="{CE6537A1-D6FC-4f65-9D91-7224C49458BB}"/>
                <c:ext xmlns:c16="http://schemas.microsoft.com/office/drawing/2014/chart" uri="{C3380CC4-5D6E-409C-BE32-E72D297353CC}">
                  <c16:uniqueId val="{00000005-ECD6-6647-B22F-B583EA7510C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Sheet1!$H$74:$J$74</c:f>
              <c:strCache>
                <c:ptCount val="3"/>
                <c:pt idx="0">
                  <c:v>low/ Low Moderate</c:v>
                </c:pt>
                <c:pt idx="1">
                  <c:v>Moderate</c:v>
                </c:pt>
                <c:pt idx="2">
                  <c:v>Moderate-High/ High</c:v>
                </c:pt>
              </c:strCache>
            </c:strRef>
          </c:cat>
          <c:val>
            <c:numRef>
              <c:f>Sheet1!$H$75:$J$75</c:f>
              <c:numCache>
                <c:formatCode>0%</c:formatCode>
                <c:ptCount val="3"/>
                <c:pt idx="0">
                  <c:v>0.89</c:v>
                </c:pt>
                <c:pt idx="1">
                  <c:v>0.02</c:v>
                </c:pt>
                <c:pt idx="2">
                  <c:v>0.09</c:v>
                </c:pt>
              </c:numCache>
            </c:numRef>
          </c:val>
          <c:extLst>
            <c:ext xmlns:c16="http://schemas.microsoft.com/office/drawing/2014/chart" uri="{C3380CC4-5D6E-409C-BE32-E72D297353CC}">
              <c16:uniqueId val="{00000006-ECD6-6647-B22F-B583EA7510CC}"/>
            </c:ext>
          </c:extLst>
        </c:ser>
        <c:dLbls>
          <c:dLblPos val="ctr"/>
          <c:showLegendKey val="0"/>
          <c:showVal val="0"/>
          <c:showCatName val="1"/>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9BD847-551B-4A4B-82E3-D922254E8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2820</Words>
  <Characters>16076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COLE, CHRIS R. (Student)</cp:lastModifiedBy>
  <cp:revision>2</cp:revision>
  <dcterms:created xsi:type="dcterms:W3CDTF">2020-06-06T15:07:00Z</dcterms:created>
  <dcterms:modified xsi:type="dcterms:W3CDTF">2020-06-06T15:07:00Z</dcterms:modified>
</cp:coreProperties>
</file>